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9BF89"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A"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B"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C"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D"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E"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8F"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0"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1"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2"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3" w14:textId="29F673E9" w:rsidR="00431648" w:rsidRDefault="00000000">
      <w:pPr>
        <w:tabs>
          <w:tab w:val="left" w:pos="1170"/>
        </w:tabs>
        <w:spacing w:line="360" w:lineRule="auto"/>
        <w:jc w:val="center"/>
        <w:rPr>
          <w:rFonts w:ascii="Times New Roman" w:hAnsi="Times New Roman" w:cs="Times New Roman"/>
          <w:b/>
          <w:bCs/>
          <w:sz w:val="36"/>
          <w:szCs w:val="36"/>
        </w:rPr>
      </w:pPr>
      <w:r>
        <w:rPr>
          <w:rFonts w:ascii="Times New Roman" w:hAnsi="Times New Roman" w:cs="Times New Roman"/>
          <w:b/>
          <w:bCs/>
          <w:sz w:val="36"/>
          <w:szCs w:val="36"/>
        </w:rPr>
        <w:t>ESTUDO TÉCNICO PRELIMINAR Nº 0</w:t>
      </w:r>
      <w:r w:rsidR="001C74AF">
        <w:rPr>
          <w:rFonts w:ascii="Times New Roman" w:hAnsi="Times New Roman" w:cs="Times New Roman"/>
          <w:b/>
          <w:bCs/>
          <w:sz w:val="36"/>
          <w:szCs w:val="36"/>
        </w:rPr>
        <w:t>5</w:t>
      </w:r>
      <w:r>
        <w:rPr>
          <w:rFonts w:ascii="Times New Roman" w:hAnsi="Times New Roman" w:cs="Times New Roman"/>
          <w:b/>
          <w:bCs/>
          <w:sz w:val="36"/>
          <w:szCs w:val="36"/>
        </w:rPr>
        <w:t>/202</w:t>
      </w:r>
      <w:r w:rsidR="001C74AF">
        <w:rPr>
          <w:rFonts w:ascii="Times New Roman" w:hAnsi="Times New Roman" w:cs="Times New Roman"/>
          <w:b/>
          <w:bCs/>
          <w:sz w:val="36"/>
          <w:szCs w:val="36"/>
        </w:rPr>
        <w:t>6</w:t>
      </w:r>
    </w:p>
    <w:p w14:paraId="21B9BF94"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5"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6"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7"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8"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9"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9A" w14:textId="77777777" w:rsidR="00431648" w:rsidRDefault="00431648">
      <w:pPr>
        <w:suppressAutoHyphens w:val="0"/>
        <w:spacing w:line="360" w:lineRule="auto"/>
        <w:rPr>
          <w:rFonts w:ascii="Times New Roman" w:hAnsi="Times New Roman" w:cs="Times New Roman"/>
          <w:b/>
          <w:bCs/>
          <w:sz w:val="36"/>
          <w:szCs w:val="36"/>
        </w:rPr>
      </w:pPr>
    </w:p>
    <w:sdt>
      <w:sdtPr>
        <w:rPr>
          <w:rFonts w:ascii="Times New Roman" w:eastAsia="Arial" w:hAnsi="Times New Roman" w:cs="Times New Roman"/>
          <w:color w:val="auto"/>
          <w:sz w:val="22"/>
          <w:szCs w:val="22"/>
          <w:lang w:eastAsia="en-US"/>
        </w:rPr>
        <w:id w:val="-583683833"/>
        <w:docPartObj>
          <w:docPartGallery w:val="Table of Contents"/>
          <w:docPartUnique/>
        </w:docPartObj>
      </w:sdtPr>
      <w:sdtContent>
        <w:p w14:paraId="21B9BF9B" w14:textId="77777777" w:rsidR="00431648" w:rsidRDefault="00000000">
          <w:pPr>
            <w:pStyle w:val="CabealhodoSumrio1"/>
            <w:spacing w:line="360" w:lineRule="auto"/>
            <w:rPr>
              <w:rFonts w:ascii="Times New Roman" w:hAnsi="Times New Roman" w:cs="Times New Roman"/>
            </w:rPr>
          </w:pPr>
          <w:r>
            <w:rPr>
              <w:rFonts w:ascii="Times New Roman" w:hAnsi="Times New Roman" w:cs="Times New Roman"/>
            </w:rPr>
            <w:br w:type="page"/>
          </w:r>
          <w:r>
            <w:rPr>
              <w:rFonts w:ascii="Times New Roman" w:hAnsi="Times New Roman" w:cs="Times New Roman"/>
            </w:rPr>
            <w:lastRenderedPageBreak/>
            <w:t>Sumário</w:t>
          </w:r>
        </w:p>
        <w:p w14:paraId="21B9BF9C" w14:textId="5C4C7F0D" w:rsidR="00431648" w:rsidRDefault="00000000">
          <w:pPr>
            <w:pStyle w:val="Sumrio1"/>
            <w:rPr>
              <w:rFonts w:ascii="Times New Roman" w:eastAsiaTheme="minorEastAsia" w:hAnsi="Times New Roman" w:cs="Times New Roman"/>
              <w:noProof/>
              <w:kern w:val="2"/>
              <w:sz w:val="24"/>
              <w:szCs w:val="24"/>
              <w:lang w:eastAsia="zh-CN"/>
              <w14:ligatures w14:val="standardContextual"/>
            </w:rPr>
          </w:pPr>
          <w:r>
            <w:rPr>
              <w:rFonts w:ascii="Times New Roman" w:hAnsi="Times New Roman" w:cs="Times New Roman"/>
            </w:rPr>
            <w:fldChar w:fldCharType="begin"/>
          </w:r>
          <w:r>
            <w:rPr>
              <w:rStyle w:val="Vnculodendice"/>
              <w:rFonts w:ascii="Times New Roman" w:hAnsi="Times New Roman" w:cs="Times New Roman"/>
            </w:rPr>
            <w:instrText xml:space="preserve"> TOC \z \o "1-3" \u \h</w:instrText>
          </w:r>
          <w:r>
            <w:rPr>
              <w:rStyle w:val="Vnculodendice"/>
            </w:rPr>
            <w:fldChar w:fldCharType="separate"/>
          </w:r>
          <w:hyperlink w:anchor="_Toc194397097">
            <w:r w:rsidR="00431648">
              <w:rPr>
                <w:rStyle w:val="Vnculodendice"/>
                <w:rFonts w:ascii="Times New Roman" w:hAnsi="Times New Roman" w:cs="Times New Roman"/>
                <w:noProof/>
              </w:rPr>
              <w:t>1.INTRODUÇÃO...........................................................................................................................................................</w:t>
            </w:r>
            <w:r w:rsidR="00431648">
              <w:rPr>
                <w:rFonts w:ascii="Times New Roman" w:hAnsi="Times New Roman" w:cs="Times New Roman"/>
                <w:noProof/>
              </w:rPr>
              <w:fldChar w:fldCharType="begin"/>
            </w:r>
            <w:r w:rsidR="00431648">
              <w:rPr>
                <w:rFonts w:ascii="Times New Roman" w:hAnsi="Times New Roman" w:cs="Times New Roman"/>
                <w:noProof/>
              </w:rPr>
              <w:instrText>PAGEREF _Toc194397097 \h</w:instrText>
            </w:r>
            <w:r w:rsidR="00431648">
              <w:rPr>
                <w:rFonts w:ascii="Times New Roman" w:hAnsi="Times New Roman" w:cs="Times New Roman"/>
                <w:noProof/>
              </w:rPr>
            </w:r>
            <w:r w:rsidR="00431648">
              <w:rPr>
                <w:rFonts w:ascii="Times New Roman" w:hAnsi="Times New Roman" w:cs="Times New Roman"/>
                <w:noProof/>
              </w:rPr>
              <w:fldChar w:fldCharType="separate"/>
            </w:r>
            <w:r w:rsidR="001C74AF">
              <w:rPr>
                <w:rFonts w:ascii="Times New Roman" w:hAnsi="Times New Roman" w:cs="Times New Roman"/>
                <w:noProof/>
              </w:rPr>
              <w:t>3</w:t>
            </w:r>
            <w:r w:rsidR="00431648">
              <w:rPr>
                <w:rFonts w:ascii="Times New Roman" w:hAnsi="Times New Roman" w:cs="Times New Roman"/>
                <w:noProof/>
              </w:rPr>
              <w:fldChar w:fldCharType="end"/>
            </w:r>
          </w:hyperlink>
        </w:p>
        <w:p w14:paraId="21B9BF9D" w14:textId="63963973"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098">
            <w:r>
              <w:rPr>
                <w:rStyle w:val="Vnculodendice"/>
                <w:rFonts w:ascii="Times New Roman" w:hAnsi="Times New Roman" w:cs="Times New Roman"/>
                <w:noProof/>
              </w:rPr>
              <w:t>2. DEFINIÇÃO DO OBJETO (art. 18º, §1º, INCISO “I”)............................................................................................</w:t>
            </w:r>
            <w:r>
              <w:rPr>
                <w:rFonts w:ascii="Times New Roman" w:hAnsi="Times New Roman" w:cs="Times New Roman"/>
                <w:noProof/>
              </w:rPr>
              <w:fldChar w:fldCharType="begin"/>
            </w:r>
            <w:r>
              <w:rPr>
                <w:rFonts w:ascii="Times New Roman" w:hAnsi="Times New Roman" w:cs="Times New Roman"/>
                <w:noProof/>
              </w:rPr>
              <w:instrText>PAGEREF _Toc194397098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5</w:t>
            </w:r>
            <w:r>
              <w:rPr>
                <w:rFonts w:ascii="Times New Roman" w:hAnsi="Times New Roman" w:cs="Times New Roman"/>
                <w:noProof/>
              </w:rPr>
              <w:fldChar w:fldCharType="end"/>
            </w:r>
          </w:hyperlink>
        </w:p>
        <w:p w14:paraId="21B9BF9E" w14:textId="66974794"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099">
            <w:r>
              <w:rPr>
                <w:rStyle w:val="Vnculodendice"/>
                <w:rFonts w:ascii="Times New Roman" w:hAnsi="Times New Roman" w:cs="Times New Roman"/>
                <w:noProof/>
              </w:rPr>
              <w:t>3. PLANO DE CONTRATAÇÃO ANUAL (art. 18º, §1º, INCISO “II”)</w:t>
            </w:r>
            <w:r>
              <w:rPr>
                <w:noProof/>
              </w:rPr>
              <w:t xml:space="preserve"> </w:t>
            </w:r>
            <w:r>
              <w:rPr>
                <w:rStyle w:val="Vnculodendice"/>
                <w:rFonts w:ascii="Times New Roman" w:hAnsi="Times New Roman" w:cs="Times New Roman"/>
                <w:noProof/>
              </w:rPr>
              <w:t>....................................................................</w:t>
            </w:r>
            <w:r>
              <w:rPr>
                <w:rFonts w:ascii="Times New Roman" w:hAnsi="Times New Roman" w:cs="Times New Roman"/>
                <w:noProof/>
              </w:rPr>
              <w:fldChar w:fldCharType="begin"/>
            </w:r>
            <w:r>
              <w:rPr>
                <w:rFonts w:ascii="Times New Roman" w:hAnsi="Times New Roman" w:cs="Times New Roman"/>
                <w:noProof/>
              </w:rPr>
              <w:instrText>PAGEREF _Toc194397099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6</w:t>
            </w:r>
            <w:r>
              <w:rPr>
                <w:rFonts w:ascii="Times New Roman" w:hAnsi="Times New Roman" w:cs="Times New Roman"/>
                <w:noProof/>
              </w:rPr>
              <w:fldChar w:fldCharType="end"/>
            </w:r>
          </w:hyperlink>
        </w:p>
        <w:p w14:paraId="21B9BF9F" w14:textId="2A532629"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0">
            <w:r>
              <w:rPr>
                <w:rStyle w:val="Vnculodendice"/>
                <w:rFonts w:ascii="Times New Roman" w:hAnsi="Times New Roman" w:cs="Times New Roman"/>
                <w:noProof/>
              </w:rPr>
              <w:t>4. DESCRIÇÃO DOS REQUISITOS DA CONTRATAÇÃO (art. 18º, §1º, INCISO “III”)</w:t>
            </w:r>
            <w:r>
              <w:rPr>
                <w:noProof/>
              </w:rPr>
              <w:t xml:space="preserve"> </w:t>
            </w:r>
            <w:r>
              <w:rPr>
                <w:rStyle w:val="Vnculodendice"/>
                <w:rFonts w:ascii="Times New Roman" w:hAnsi="Times New Roman" w:cs="Times New Roman"/>
                <w:noProof/>
              </w:rPr>
              <w:t>.......................................</w:t>
            </w:r>
            <w:r>
              <w:rPr>
                <w:rFonts w:ascii="Times New Roman" w:hAnsi="Times New Roman" w:cs="Times New Roman"/>
                <w:noProof/>
              </w:rPr>
              <w:fldChar w:fldCharType="begin"/>
            </w:r>
            <w:r>
              <w:rPr>
                <w:rFonts w:ascii="Times New Roman" w:hAnsi="Times New Roman" w:cs="Times New Roman"/>
                <w:noProof/>
              </w:rPr>
              <w:instrText>PAGEREF _Toc194397100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6</w:t>
            </w:r>
            <w:r>
              <w:rPr>
                <w:rFonts w:ascii="Times New Roman" w:hAnsi="Times New Roman" w:cs="Times New Roman"/>
                <w:noProof/>
              </w:rPr>
              <w:fldChar w:fldCharType="end"/>
            </w:r>
          </w:hyperlink>
        </w:p>
        <w:p w14:paraId="21B9BFA0" w14:textId="43DE9CD2"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1">
            <w:r>
              <w:rPr>
                <w:rStyle w:val="Vnculodendice"/>
                <w:rFonts w:ascii="Times New Roman" w:hAnsi="Times New Roman" w:cs="Times New Roman"/>
                <w:noProof/>
              </w:rPr>
              <w:t>5. ESTIMATIVA DAS QUANTIDADES (art. 18º, §1º, INCISO “III”)</w:t>
            </w:r>
            <w:r>
              <w:rPr>
                <w:noProof/>
              </w:rPr>
              <w:t xml:space="preserve"> </w:t>
            </w:r>
            <w:r>
              <w:rPr>
                <w:rStyle w:val="Vnculodendice"/>
                <w:rFonts w:ascii="Times New Roman" w:hAnsi="Times New Roman" w:cs="Times New Roman"/>
                <w:noProof/>
              </w:rPr>
              <w:t>...................................................................</w:t>
            </w:r>
            <w:r>
              <w:rPr>
                <w:rFonts w:ascii="Times New Roman" w:hAnsi="Times New Roman" w:cs="Times New Roman"/>
                <w:noProof/>
              </w:rPr>
              <w:fldChar w:fldCharType="begin"/>
            </w:r>
            <w:r>
              <w:rPr>
                <w:rFonts w:ascii="Times New Roman" w:hAnsi="Times New Roman" w:cs="Times New Roman"/>
                <w:noProof/>
              </w:rPr>
              <w:instrText>PAGEREF _Toc194397101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8</w:t>
            </w:r>
            <w:r>
              <w:rPr>
                <w:rFonts w:ascii="Times New Roman" w:hAnsi="Times New Roman" w:cs="Times New Roman"/>
                <w:noProof/>
              </w:rPr>
              <w:fldChar w:fldCharType="end"/>
            </w:r>
          </w:hyperlink>
        </w:p>
        <w:p w14:paraId="21B9BFA1" w14:textId="1699F084"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2">
            <w:r>
              <w:rPr>
                <w:rStyle w:val="Vnculodendice"/>
                <w:rFonts w:ascii="Times New Roman" w:hAnsi="Times New Roman" w:cs="Times New Roman"/>
                <w:noProof/>
              </w:rPr>
              <w:t>6. LEVANTAMENTO DE MERCADO E JUSTIFICATIVA DA ESCOLHA DO TIPO DE SOLUÇÃO A CONTRATAR (art. 18º, §1º, INCISO “V”)</w:t>
            </w:r>
            <w:r>
              <w:rPr>
                <w:noProof/>
              </w:rPr>
              <w:t xml:space="preserve"> </w:t>
            </w:r>
            <w:r>
              <w:rPr>
                <w:rStyle w:val="Vnculodendice"/>
                <w:rFonts w:ascii="Times New Roman" w:hAnsi="Times New Roman" w:cs="Times New Roman"/>
                <w:noProof/>
              </w:rPr>
              <w:t>...............................................................................................................</w:t>
            </w:r>
            <w:r>
              <w:rPr>
                <w:rFonts w:ascii="Times New Roman" w:hAnsi="Times New Roman" w:cs="Times New Roman"/>
                <w:noProof/>
              </w:rPr>
              <w:fldChar w:fldCharType="begin"/>
            </w:r>
            <w:r>
              <w:rPr>
                <w:rFonts w:ascii="Times New Roman" w:hAnsi="Times New Roman" w:cs="Times New Roman"/>
                <w:noProof/>
              </w:rPr>
              <w:instrText>PAGEREF _Toc194397102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9</w:t>
            </w:r>
            <w:r>
              <w:rPr>
                <w:rFonts w:ascii="Times New Roman" w:hAnsi="Times New Roman" w:cs="Times New Roman"/>
                <w:noProof/>
              </w:rPr>
              <w:fldChar w:fldCharType="end"/>
            </w:r>
          </w:hyperlink>
        </w:p>
        <w:p w14:paraId="21B9BFA2" w14:textId="471AC8CE"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3">
            <w:r>
              <w:rPr>
                <w:rStyle w:val="Vnculodendice"/>
                <w:rFonts w:ascii="Times New Roman" w:hAnsi="Times New Roman" w:cs="Times New Roman"/>
                <w:noProof/>
              </w:rPr>
              <w:t>7. ESTIMATIVA DO VALOR DA CONTRATAÇÃO (art. 18º, §1º, INCISO “VI”)</w:t>
            </w:r>
            <w:r>
              <w:rPr>
                <w:noProof/>
              </w:rPr>
              <w:t xml:space="preserve"> </w:t>
            </w:r>
            <w:r>
              <w:rPr>
                <w:rStyle w:val="Vnculodendice"/>
                <w:rFonts w:ascii="Times New Roman" w:hAnsi="Times New Roman" w:cs="Times New Roman"/>
                <w:noProof/>
              </w:rPr>
              <w:t>..............................................</w:t>
            </w:r>
            <w:r>
              <w:rPr>
                <w:rFonts w:ascii="Times New Roman" w:hAnsi="Times New Roman" w:cs="Times New Roman"/>
                <w:noProof/>
              </w:rPr>
              <w:fldChar w:fldCharType="begin"/>
            </w:r>
            <w:r>
              <w:rPr>
                <w:rFonts w:ascii="Times New Roman" w:hAnsi="Times New Roman" w:cs="Times New Roman"/>
                <w:noProof/>
              </w:rPr>
              <w:instrText>PAGEREF _Toc194397103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10</w:t>
            </w:r>
            <w:r>
              <w:rPr>
                <w:rFonts w:ascii="Times New Roman" w:hAnsi="Times New Roman" w:cs="Times New Roman"/>
                <w:noProof/>
              </w:rPr>
              <w:fldChar w:fldCharType="end"/>
            </w:r>
          </w:hyperlink>
        </w:p>
        <w:p w14:paraId="21B9BFA3" w14:textId="553AB1E4"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4">
            <w:r>
              <w:rPr>
                <w:rStyle w:val="Vnculodendice"/>
                <w:rFonts w:ascii="Times New Roman" w:hAnsi="Times New Roman" w:cs="Times New Roman"/>
                <w:noProof/>
              </w:rPr>
              <w:t>8. DESCRIÇÃO DA SOLUÇÃO COMO UM TODO (art. 18º, §1º, INCISO “VII”)</w:t>
            </w:r>
            <w:r>
              <w:rPr>
                <w:noProof/>
              </w:rPr>
              <w:t xml:space="preserve"> </w:t>
            </w:r>
            <w:r>
              <w:rPr>
                <w:rStyle w:val="Vnculodendice"/>
                <w:rFonts w:ascii="Times New Roman" w:hAnsi="Times New Roman" w:cs="Times New Roman"/>
                <w:noProof/>
              </w:rPr>
              <w:t>...............................................</w:t>
            </w:r>
            <w:r>
              <w:rPr>
                <w:rFonts w:ascii="Times New Roman" w:hAnsi="Times New Roman" w:cs="Times New Roman"/>
                <w:noProof/>
              </w:rPr>
              <w:fldChar w:fldCharType="begin"/>
            </w:r>
            <w:r>
              <w:rPr>
                <w:rFonts w:ascii="Times New Roman" w:hAnsi="Times New Roman" w:cs="Times New Roman"/>
                <w:noProof/>
              </w:rPr>
              <w:instrText>PAGEREF _Toc194397104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11</w:t>
            </w:r>
            <w:r>
              <w:rPr>
                <w:rFonts w:ascii="Times New Roman" w:hAnsi="Times New Roman" w:cs="Times New Roman"/>
                <w:noProof/>
              </w:rPr>
              <w:fldChar w:fldCharType="end"/>
            </w:r>
          </w:hyperlink>
        </w:p>
        <w:p w14:paraId="21B9BFA4" w14:textId="783D3E97"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5">
            <w:r>
              <w:rPr>
                <w:rStyle w:val="Vnculodendice"/>
                <w:rFonts w:ascii="Times New Roman" w:hAnsi="Times New Roman" w:cs="Times New Roman"/>
                <w:noProof/>
              </w:rPr>
              <w:t>9. JUSTIFICATIVA PARA O PARCELAMENTO OU NÃO DA SOLUÇÃO (art. 18º, §1º, INCISO “VIII”)........</w:t>
            </w:r>
            <w:r>
              <w:rPr>
                <w:rFonts w:ascii="Times New Roman" w:hAnsi="Times New Roman" w:cs="Times New Roman"/>
                <w:noProof/>
              </w:rPr>
              <w:fldChar w:fldCharType="begin"/>
            </w:r>
            <w:r>
              <w:rPr>
                <w:rFonts w:ascii="Times New Roman" w:hAnsi="Times New Roman" w:cs="Times New Roman"/>
                <w:noProof/>
              </w:rPr>
              <w:instrText>PAGEREF _Toc194397105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11</w:t>
            </w:r>
            <w:r>
              <w:rPr>
                <w:rFonts w:ascii="Times New Roman" w:hAnsi="Times New Roman" w:cs="Times New Roman"/>
                <w:noProof/>
              </w:rPr>
              <w:fldChar w:fldCharType="end"/>
            </w:r>
          </w:hyperlink>
        </w:p>
        <w:p w14:paraId="21B9BFA5" w14:textId="5FE6343F"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6">
            <w:r>
              <w:rPr>
                <w:rStyle w:val="Vnculodendice"/>
                <w:rFonts w:ascii="Times New Roman" w:hAnsi="Times New Roman" w:cs="Times New Roman"/>
                <w:noProof/>
              </w:rPr>
              <w:t>10. DEMONSTRATIVO DOS RESULTADOS PRETENDIDOS (art. 18º, §1º, INCISO “IX”)...............................</w:t>
            </w:r>
            <w:r>
              <w:rPr>
                <w:rFonts w:ascii="Times New Roman" w:hAnsi="Times New Roman" w:cs="Times New Roman"/>
                <w:noProof/>
              </w:rPr>
              <w:fldChar w:fldCharType="begin"/>
            </w:r>
            <w:r>
              <w:rPr>
                <w:rFonts w:ascii="Times New Roman" w:hAnsi="Times New Roman" w:cs="Times New Roman"/>
                <w:noProof/>
              </w:rPr>
              <w:instrText>PAGEREF _Toc194397106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12</w:t>
            </w:r>
            <w:r>
              <w:rPr>
                <w:rFonts w:ascii="Times New Roman" w:hAnsi="Times New Roman" w:cs="Times New Roman"/>
                <w:noProof/>
              </w:rPr>
              <w:fldChar w:fldCharType="end"/>
            </w:r>
          </w:hyperlink>
        </w:p>
        <w:p w14:paraId="21B9BFA6" w14:textId="7AD99B68"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7">
            <w:r>
              <w:rPr>
                <w:rStyle w:val="Vnculodendice"/>
                <w:rFonts w:ascii="Times New Roman" w:hAnsi="Times New Roman" w:cs="Times New Roman"/>
                <w:noProof/>
              </w:rPr>
              <w:t xml:space="preserve">11. </w:t>
            </w:r>
            <w:r>
              <w:rPr>
                <w:rStyle w:val="Vnculodendice"/>
                <w:rFonts w:ascii="Times New Roman" w:hAnsi="Times New Roman" w:cs="Times New Roman"/>
                <w:bCs/>
                <w:noProof/>
              </w:rPr>
              <w:t>PROVIDÊNCIAS A SEREM ADOTADAS PELA ADMINISTRAÇÃO PREVIAMENTE A CELEBRAÇÃO DO CONTRATO</w:t>
            </w:r>
            <w:r>
              <w:rPr>
                <w:rStyle w:val="Vnculodendice"/>
                <w:rFonts w:ascii="Times New Roman" w:hAnsi="Times New Roman" w:cs="Times New Roman"/>
                <w:noProof/>
              </w:rPr>
              <w:t xml:space="preserve"> (art. 18º, §1º, INCISO “X”).............................................................................................................</w:t>
            </w:r>
            <w:r>
              <w:rPr>
                <w:rFonts w:ascii="Times New Roman" w:hAnsi="Times New Roman" w:cs="Times New Roman"/>
                <w:noProof/>
              </w:rPr>
              <w:fldChar w:fldCharType="begin"/>
            </w:r>
            <w:r>
              <w:rPr>
                <w:rFonts w:ascii="Times New Roman" w:hAnsi="Times New Roman" w:cs="Times New Roman"/>
                <w:noProof/>
              </w:rPr>
              <w:instrText>PAGEREF _Toc194397107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13</w:t>
            </w:r>
            <w:r>
              <w:rPr>
                <w:rFonts w:ascii="Times New Roman" w:hAnsi="Times New Roman" w:cs="Times New Roman"/>
                <w:noProof/>
              </w:rPr>
              <w:fldChar w:fldCharType="end"/>
            </w:r>
          </w:hyperlink>
        </w:p>
        <w:p w14:paraId="21B9BFA7" w14:textId="57807D22"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8">
            <w:r>
              <w:rPr>
                <w:rStyle w:val="Vnculodendice"/>
                <w:rFonts w:ascii="Times New Roman" w:hAnsi="Times New Roman" w:cs="Times New Roman"/>
                <w:noProof/>
              </w:rPr>
              <w:t>12. CONTRATAÇÕES CORRELATAS E/OU INTERDEPENDENTES (art. 18º, §1º, INCISO “XI”)...................</w:t>
            </w:r>
            <w:r>
              <w:rPr>
                <w:rFonts w:ascii="Times New Roman" w:hAnsi="Times New Roman" w:cs="Times New Roman"/>
                <w:noProof/>
              </w:rPr>
              <w:fldChar w:fldCharType="begin"/>
            </w:r>
            <w:r>
              <w:rPr>
                <w:rFonts w:ascii="Times New Roman" w:hAnsi="Times New Roman" w:cs="Times New Roman"/>
                <w:noProof/>
              </w:rPr>
              <w:instrText>PAGEREF _Toc194397108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14</w:t>
            </w:r>
            <w:r>
              <w:rPr>
                <w:rFonts w:ascii="Times New Roman" w:hAnsi="Times New Roman" w:cs="Times New Roman"/>
                <w:noProof/>
              </w:rPr>
              <w:fldChar w:fldCharType="end"/>
            </w:r>
          </w:hyperlink>
        </w:p>
        <w:p w14:paraId="21B9BFA8" w14:textId="608790C1"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09">
            <w:r>
              <w:rPr>
                <w:rStyle w:val="Vnculodendice"/>
                <w:rFonts w:ascii="Times New Roman" w:hAnsi="Times New Roman" w:cs="Times New Roman"/>
                <w:noProof/>
              </w:rPr>
              <w:t>13. DESCRIÇÃO DE POSSÍVEIS IMPACTOS AMBIENTAIS (art. 18º, §1º, INCISO “XII”)................................</w:t>
            </w:r>
            <w:r>
              <w:rPr>
                <w:rFonts w:ascii="Times New Roman" w:hAnsi="Times New Roman" w:cs="Times New Roman"/>
                <w:noProof/>
              </w:rPr>
              <w:fldChar w:fldCharType="begin"/>
            </w:r>
            <w:r>
              <w:rPr>
                <w:rFonts w:ascii="Times New Roman" w:hAnsi="Times New Roman" w:cs="Times New Roman"/>
                <w:noProof/>
              </w:rPr>
              <w:instrText>PAGEREF _Toc194397109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14</w:t>
            </w:r>
            <w:r>
              <w:rPr>
                <w:rFonts w:ascii="Times New Roman" w:hAnsi="Times New Roman" w:cs="Times New Roman"/>
                <w:noProof/>
              </w:rPr>
              <w:fldChar w:fldCharType="end"/>
            </w:r>
          </w:hyperlink>
        </w:p>
        <w:p w14:paraId="21B9BFA9" w14:textId="38B514ED" w:rsidR="00431648" w:rsidRDefault="00431648">
          <w:pPr>
            <w:pStyle w:val="Sumrio1"/>
            <w:rPr>
              <w:rFonts w:ascii="Times New Roman" w:eastAsiaTheme="minorEastAsia" w:hAnsi="Times New Roman" w:cs="Times New Roman"/>
              <w:noProof/>
              <w:kern w:val="2"/>
              <w:sz w:val="24"/>
              <w:szCs w:val="24"/>
              <w:lang w:eastAsia="zh-CN"/>
              <w14:ligatures w14:val="standardContextual"/>
            </w:rPr>
          </w:pPr>
          <w:hyperlink w:anchor="_Toc194397110">
            <w:r>
              <w:rPr>
                <w:rStyle w:val="Vnculodendice"/>
                <w:rFonts w:ascii="Times New Roman" w:hAnsi="Times New Roman" w:cs="Times New Roman"/>
                <w:noProof/>
              </w:rPr>
              <w:t>14. POSICIONAMENTO CONCLUSIVO SOBRE A VIABILIDADE DA CONTRATAÇÃO (art. 18º, §1º, INCISO “XIII”)..........................................................................................................................................................................</w:t>
            </w:r>
            <w:r>
              <w:rPr>
                <w:rFonts w:ascii="Times New Roman" w:hAnsi="Times New Roman" w:cs="Times New Roman"/>
                <w:noProof/>
              </w:rPr>
              <w:fldChar w:fldCharType="begin"/>
            </w:r>
            <w:r>
              <w:rPr>
                <w:rFonts w:ascii="Times New Roman" w:hAnsi="Times New Roman" w:cs="Times New Roman"/>
                <w:noProof/>
              </w:rPr>
              <w:instrText>PAGEREF _Toc194397110 \h</w:instrText>
            </w:r>
            <w:r>
              <w:rPr>
                <w:rFonts w:ascii="Times New Roman" w:hAnsi="Times New Roman" w:cs="Times New Roman"/>
                <w:noProof/>
              </w:rPr>
            </w:r>
            <w:r>
              <w:rPr>
                <w:rFonts w:ascii="Times New Roman" w:hAnsi="Times New Roman" w:cs="Times New Roman"/>
                <w:noProof/>
              </w:rPr>
              <w:fldChar w:fldCharType="separate"/>
            </w:r>
            <w:r w:rsidR="001C74AF">
              <w:rPr>
                <w:rFonts w:ascii="Times New Roman" w:hAnsi="Times New Roman" w:cs="Times New Roman"/>
                <w:noProof/>
              </w:rPr>
              <w:t>15</w:t>
            </w:r>
            <w:r>
              <w:rPr>
                <w:rFonts w:ascii="Times New Roman" w:hAnsi="Times New Roman" w:cs="Times New Roman"/>
                <w:noProof/>
              </w:rPr>
              <w:fldChar w:fldCharType="end"/>
            </w:r>
          </w:hyperlink>
        </w:p>
        <w:p w14:paraId="21B9BFAA" w14:textId="77777777" w:rsidR="00431648" w:rsidRDefault="00000000">
          <w:pPr>
            <w:spacing w:line="360" w:lineRule="auto"/>
            <w:rPr>
              <w:rFonts w:ascii="Times New Roman" w:hAnsi="Times New Roman" w:cs="Times New Roman"/>
            </w:rPr>
          </w:pPr>
          <w:r>
            <w:rPr>
              <w:rFonts w:ascii="Times New Roman" w:hAnsi="Times New Roman" w:cs="Times New Roman"/>
            </w:rPr>
            <w:fldChar w:fldCharType="end"/>
          </w:r>
        </w:p>
      </w:sdtContent>
    </w:sdt>
    <w:p w14:paraId="21B9BFAB" w14:textId="77777777" w:rsidR="00431648" w:rsidRDefault="00431648">
      <w:pPr>
        <w:suppressAutoHyphens w:val="0"/>
        <w:spacing w:line="360" w:lineRule="auto"/>
        <w:rPr>
          <w:rFonts w:ascii="Times New Roman" w:hAnsi="Times New Roman" w:cs="Times New Roman"/>
          <w:b/>
          <w:bCs/>
          <w:sz w:val="24"/>
          <w:szCs w:val="24"/>
        </w:rPr>
      </w:pPr>
    </w:p>
    <w:p w14:paraId="21B9BFAC" w14:textId="77777777" w:rsidR="00431648" w:rsidRDefault="00431648">
      <w:pPr>
        <w:tabs>
          <w:tab w:val="left" w:pos="1170"/>
        </w:tabs>
        <w:spacing w:line="360" w:lineRule="auto"/>
        <w:jc w:val="center"/>
        <w:rPr>
          <w:rFonts w:ascii="Times New Roman" w:hAnsi="Times New Roman" w:cs="Times New Roman"/>
          <w:b/>
          <w:bCs/>
          <w:sz w:val="36"/>
          <w:szCs w:val="36"/>
        </w:rPr>
      </w:pPr>
    </w:p>
    <w:p w14:paraId="21B9BFAD" w14:textId="77777777" w:rsidR="00431648" w:rsidRDefault="00000000">
      <w:pPr>
        <w:suppressAutoHyphens w:val="0"/>
        <w:spacing w:line="360" w:lineRule="auto"/>
        <w:rPr>
          <w:rFonts w:ascii="Times New Roman" w:hAnsi="Times New Roman" w:cs="Times New Roman"/>
          <w:b/>
          <w:bCs/>
          <w:sz w:val="24"/>
          <w:szCs w:val="24"/>
        </w:rPr>
      </w:pPr>
      <w:r>
        <w:rPr>
          <w:rFonts w:ascii="Times New Roman" w:hAnsi="Times New Roman" w:cs="Times New Roman"/>
        </w:rPr>
        <w:br w:type="page"/>
      </w:r>
    </w:p>
    <w:tbl>
      <w:tblPr>
        <w:tblStyle w:val="TabeladeGradeClara1"/>
        <w:tblW w:w="10366" w:type="dxa"/>
        <w:tblLayout w:type="fixed"/>
        <w:tblLook w:val="04A0" w:firstRow="1" w:lastRow="0" w:firstColumn="1" w:lastColumn="0" w:noHBand="0" w:noVBand="1"/>
      </w:tblPr>
      <w:tblGrid>
        <w:gridCol w:w="10366"/>
      </w:tblGrid>
      <w:tr w:rsidR="00431648" w14:paraId="21B9BFAF" w14:textId="77777777">
        <w:trPr>
          <w:trHeight w:val="367"/>
        </w:trPr>
        <w:tc>
          <w:tcPr>
            <w:tcW w:w="10366" w:type="dxa"/>
            <w:shd w:val="clear" w:color="auto" w:fill="D0CECE" w:themeFill="background2" w:themeFillShade="E6"/>
            <w:vAlign w:val="center"/>
          </w:tcPr>
          <w:p w14:paraId="21B9BFAE" w14:textId="77777777" w:rsidR="00431648" w:rsidRDefault="00000000">
            <w:pPr>
              <w:pStyle w:val="Ttulo"/>
              <w:pageBreakBefore/>
              <w:spacing w:line="360" w:lineRule="auto"/>
              <w:rPr>
                <w:rFonts w:ascii="Times New Roman" w:hAnsi="Times New Roman" w:cs="Times New Roman"/>
              </w:rPr>
            </w:pPr>
            <w:bookmarkStart w:id="0" w:name="_Toc194397097"/>
            <w:r>
              <w:rPr>
                <w:rFonts w:ascii="Times New Roman" w:hAnsi="Times New Roman" w:cs="Times New Roman"/>
              </w:rPr>
              <w:lastRenderedPageBreak/>
              <w:t xml:space="preserve">1. </w:t>
            </w:r>
            <w:bookmarkEnd w:id="0"/>
            <w:r>
              <w:rPr>
                <w:rFonts w:ascii="Times New Roman" w:hAnsi="Times New Roman" w:cs="Times New Roman"/>
              </w:rPr>
              <w:t>INTRODUÇÃO</w:t>
            </w:r>
          </w:p>
        </w:tc>
      </w:tr>
    </w:tbl>
    <w:p w14:paraId="21B9BFB0" w14:textId="77777777" w:rsidR="00431648" w:rsidRDefault="00431648">
      <w:pPr>
        <w:pStyle w:val="SemEspaamento"/>
        <w:spacing w:line="360" w:lineRule="auto"/>
        <w:rPr>
          <w:rFonts w:ascii="Times New Roman" w:hAnsi="Times New Roman" w:cs="Times New Roman"/>
          <w:lang w:val="pt-BR"/>
        </w:rPr>
      </w:pPr>
    </w:p>
    <w:p w14:paraId="21B9BFB1" w14:textId="1012F9DF" w:rsidR="00431648" w:rsidRDefault="00D33FF6" w:rsidP="00D33FF6">
      <w:pPr>
        <w:pStyle w:val="SemEspaamento"/>
        <w:spacing w:line="360" w:lineRule="auto"/>
        <w:ind w:firstLine="720"/>
        <w:jc w:val="both"/>
        <w:rPr>
          <w:rFonts w:ascii="Times New Roman" w:hAnsi="Times New Roman" w:cs="Times New Roman"/>
        </w:rPr>
      </w:pPr>
      <w:r w:rsidRPr="00D33FF6">
        <w:rPr>
          <w:rFonts w:ascii="Times New Roman" w:hAnsi="Times New Roman" w:cs="Times New Roman"/>
          <w:lang w:val="pt-BR"/>
        </w:rPr>
        <w:t xml:space="preserve">O presente Estudo Técnico Preliminar (ETP) tem como finalidade apresentar os elementos técnicos, justificativas e requisitos necessários para a contratação de empresa especializada para a execução da obra de reforma da cobertura do Hospital Municipal </w:t>
      </w:r>
      <w:proofErr w:type="spellStart"/>
      <w:r w:rsidRPr="00D33FF6">
        <w:rPr>
          <w:rFonts w:ascii="Times New Roman" w:hAnsi="Times New Roman" w:cs="Times New Roman"/>
          <w:lang w:val="pt-BR"/>
        </w:rPr>
        <w:t>Cristyan</w:t>
      </w:r>
      <w:proofErr w:type="spellEnd"/>
      <w:r w:rsidRPr="00D33FF6">
        <w:rPr>
          <w:rFonts w:ascii="Times New Roman" w:hAnsi="Times New Roman" w:cs="Times New Roman"/>
          <w:lang w:val="pt-BR"/>
        </w:rPr>
        <w:t xml:space="preserve"> Mary da Silveira e Lima, no município de Rondonópolis – MT. Este documento constitui etapa inicial e essencial da fase de planejamento, subsidiando a definição adequada do objeto a ser contratado e a tomada de decisões de forma transparente, eficiente e alinhada ao interesse público.</w:t>
      </w:r>
    </w:p>
    <w:p w14:paraId="5B3C241D" w14:textId="77777777" w:rsidR="00D33FF6" w:rsidRDefault="00D33FF6">
      <w:pPr>
        <w:pStyle w:val="SemEspaamento"/>
        <w:spacing w:line="360" w:lineRule="auto"/>
        <w:ind w:firstLine="720"/>
        <w:jc w:val="both"/>
        <w:rPr>
          <w:rFonts w:ascii="Times New Roman" w:hAnsi="Times New Roman" w:cs="Times New Roman"/>
          <w:lang w:val="pt-BR"/>
        </w:rPr>
      </w:pPr>
      <w:r w:rsidRPr="00D33FF6">
        <w:rPr>
          <w:rFonts w:ascii="Times New Roman" w:hAnsi="Times New Roman" w:cs="Times New Roman"/>
          <w:lang w:val="pt-BR"/>
        </w:rPr>
        <w:t>A realização da reforma da cobertura visa restabelecer as condições adequadas de conservação, segurança e funcionalidade da edificação hospitalar, contribuindo para a continuidade dos serviços de saúde prestados à população, a preservação do patrimônio público e a melhoria das condições de atendimento aos usuários. Trata-se de uma intervenção de relevante interesse social, voltada à correção de patologias construtivas, eliminação de infiltrações e proteção dos ambientes internos, garantindo maior conforto, segurança e qualidade na prestação dos serviços de saúde à comunidade.</w:t>
      </w:r>
    </w:p>
    <w:p w14:paraId="21B9BFB4" w14:textId="3D259044" w:rsidR="00431648" w:rsidRDefault="00D33FF6" w:rsidP="00D33FF6">
      <w:pPr>
        <w:pStyle w:val="SemEspaamento"/>
        <w:spacing w:line="360" w:lineRule="auto"/>
        <w:ind w:firstLine="720"/>
        <w:jc w:val="both"/>
        <w:rPr>
          <w:rFonts w:ascii="Times New Roman" w:hAnsi="Times New Roman" w:cs="Times New Roman"/>
          <w:lang w:val="pt-BR"/>
        </w:rPr>
      </w:pPr>
      <w:r w:rsidRPr="00D33FF6">
        <w:rPr>
          <w:rFonts w:ascii="Times New Roman" w:hAnsi="Times New Roman" w:cs="Times New Roman"/>
          <w:lang w:val="pt-BR"/>
        </w:rPr>
        <w:t>O projeto será desenvolvido em conformidade com as normas técnicas vigentes, observando os princípios de segurança, acessibilidade, funcionalidade dos ambientes e sustentabilidade. A execução da reforma da cobertura permitirá melhores condições de trabalho às equipes de saúde, maior proteção das instalações físicas, equipamentos e mobiliários da unidade, além de contribuir para a eficiência dos atendimentos prestados à população e para a adequada conservação da infraestrutura pública, em atendimento às necessidades identificadas por meio de avaliações técnicas da edificação.</w:t>
      </w:r>
    </w:p>
    <w:p w14:paraId="25B3C6A0" w14:textId="77777777" w:rsidR="00D33FF6" w:rsidRDefault="00D33FF6" w:rsidP="00D33FF6">
      <w:pPr>
        <w:pStyle w:val="SemEspaamento"/>
        <w:spacing w:line="360" w:lineRule="auto"/>
        <w:ind w:firstLine="720"/>
        <w:jc w:val="both"/>
        <w:rPr>
          <w:rFonts w:ascii="Times New Roman" w:hAnsi="Times New Roman" w:cs="Times New Roman"/>
          <w:b/>
          <w:bCs/>
          <w:lang w:val="pt-BR"/>
        </w:rPr>
      </w:pPr>
    </w:p>
    <w:p w14:paraId="21B9BFB5" w14:textId="77777777" w:rsidR="00431648" w:rsidRDefault="00000000">
      <w:pPr>
        <w:pStyle w:val="SemEspaamento"/>
        <w:spacing w:line="360" w:lineRule="auto"/>
        <w:jc w:val="both"/>
        <w:rPr>
          <w:rFonts w:ascii="Times New Roman" w:hAnsi="Times New Roman" w:cs="Times New Roman"/>
          <w:b/>
          <w:bCs/>
          <w:lang w:val="pt-BR"/>
        </w:rPr>
      </w:pPr>
      <w:r>
        <w:rPr>
          <w:rFonts w:ascii="Times New Roman" w:hAnsi="Times New Roman" w:cs="Times New Roman"/>
          <w:b/>
          <w:bCs/>
          <w:lang w:val="pt-BR"/>
        </w:rPr>
        <w:t>I. OBJETO DO ESTUDO E ESPECIFICAÇÕES GERAIS</w:t>
      </w:r>
    </w:p>
    <w:p w14:paraId="21B9BFB6" w14:textId="77777777" w:rsidR="00431648" w:rsidRDefault="00431648">
      <w:pPr>
        <w:pStyle w:val="SemEspaamento"/>
        <w:spacing w:line="360" w:lineRule="auto"/>
        <w:jc w:val="both"/>
        <w:rPr>
          <w:rFonts w:ascii="Times New Roman" w:hAnsi="Times New Roman" w:cs="Times New Roman"/>
          <w:lang w:val="pt-BR"/>
        </w:rPr>
      </w:pPr>
    </w:p>
    <w:p w14:paraId="3B4A852F" w14:textId="77777777" w:rsidR="00226FD9" w:rsidRDefault="00226FD9">
      <w:pPr>
        <w:spacing w:line="360" w:lineRule="auto"/>
        <w:ind w:firstLine="709"/>
        <w:jc w:val="both"/>
        <w:rPr>
          <w:rFonts w:ascii="Times New Roman" w:hAnsi="Times New Roman" w:cs="Times New Roman"/>
        </w:rPr>
      </w:pPr>
      <w:r w:rsidRPr="00226FD9">
        <w:rPr>
          <w:rFonts w:ascii="Times New Roman" w:hAnsi="Times New Roman" w:cs="Times New Roman"/>
        </w:rPr>
        <w:t xml:space="preserve">O objeto deste estudo consiste na execução da Reforma da Cobertura do Hospital Municipal </w:t>
      </w:r>
      <w:proofErr w:type="spellStart"/>
      <w:r w:rsidRPr="00226FD9">
        <w:rPr>
          <w:rFonts w:ascii="Times New Roman" w:hAnsi="Times New Roman" w:cs="Times New Roman"/>
        </w:rPr>
        <w:t>Cristyan</w:t>
      </w:r>
      <w:proofErr w:type="spellEnd"/>
      <w:r w:rsidRPr="00226FD9">
        <w:rPr>
          <w:rFonts w:ascii="Times New Roman" w:hAnsi="Times New Roman" w:cs="Times New Roman"/>
        </w:rPr>
        <w:t xml:space="preserve"> Mary da Silveira e Lima, no Município de Rondonópolis – MT. A intervenção tem por finalidade restabelecer as condições adequadas de segurança, estanqueidade e funcionalidade da edificação, assegurando a continuidade dos serviços de saúde prestados à população.</w:t>
      </w:r>
    </w:p>
    <w:p w14:paraId="40FEDB48" w14:textId="0C2F303A" w:rsidR="00226FD9" w:rsidRDefault="00226FD9">
      <w:pPr>
        <w:spacing w:line="360" w:lineRule="auto"/>
        <w:ind w:firstLine="709"/>
        <w:jc w:val="both"/>
        <w:rPr>
          <w:rFonts w:ascii="Times New Roman" w:hAnsi="Times New Roman" w:cs="Times New Roman"/>
        </w:rPr>
      </w:pPr>
      <w:r w:rsidRPr="00226FD9">
        <w:rPr>
          <w:rFonts w:ascii="Times New Roman" w:hAnsi="Times New Roman" w:cs="Times New Roman"/>
        </w:rPr>
        <w:t>A solução proposta contempla a reforma completa da cobertura existente, incluindo a substituição e adequação dos elementos estruturais e de vedação que apresentem desgaste, deterioração ou comprometimento funcional, bem como a execução dos serviços complementares necessários para garantir o adequado desempenho do sistema de cobertura.</w:t>
      </w:r>
    </w:p>
    <w:p w14:paraId="3D86C077" w14:textId="10D3C090" w:rsidR="00226FD9" w:rsidRDefault="00226FD9">
      <w:pPr>
        <w:spacing w:line="360" w:lineRule="auto"/>
        <w:ind w:firstLine="709"/>
        <w:jc w:val="both"/>
        <w:rPr>
          <w:rFonts w:ascii="Times New Roman" w:hAnsi="Times New Roman" w:cs="Times New Roman"/>
        </w:rPr>
      </w:pPr>
      <w:r w:rsidRPr="00226FD9">
        <w:rPr>
          <w:rFonts w:ascii="Times New Roman" w:hAnsi="Times New Roman" w:cs="Times New Roman"/>
        </w:rPr>
        <w:t>A obra envolverá a execução dos serviços de remoção e substituição de telhas</w:t>
      </w:r>
      <w:r>
        <w:rPr>
          <w:rFonts w:ascii="Times New Roman" w:hAnsi="Times New Roman" w:cs="Times New Roman"/>
        </w:rPr>
        <w:t xml:space="preserve"> </w:t>
      </w:r>
      <w:proofErr w:type="gramStart"/>
      <w:r>
        <w:rPr>
          <w:rFonts w:ascii="Times New Roman" w:hAnsi="Times New Roman" w:cs="Times New Roman"/>
        </w:rPr>
        <w:t xml:space="preserve">e </w:t>
      </w:r>
      <w:r w:rsidRPr="00226FD9">
        <w:rPr>
          <w:rFonts w:ascii="Times New Roman" w:hAnsi="Times New Roman" w:cs="Times New Roman"/>
        </w:rPr>
        <w:t xml:space="preserve"> da</w:t>
      </w:r>
      <w:proofErr w:type="gramEnd"/>
      <w:r w:rsidRPr="00226FD9">
        <w:rPr>
          <w:rFonts w:ascii="Times New Roman" w:hAnsi="Times New Roman" w:cs="Times New Roman"/>
        </w:rPr>
        <w:t xml:space="preserve"> estrutura de sustentação,</w:t>
      </w:r>
      <w:r>
        <w:rPr>
          <w:rFonts w:ascii="Times New Roman" w:hAnsi="Times New Roman" w:cs="Times New Roman"/>
        </w:rPr>
        <w:t xml:space="preserve"> reutilizando os pontos</w:t>
      </w:r>
      <w:r w:rsidRPr="00226FD9">
        <w:rPr>
          <w:rFonts w:ascii="Times New Roman" w:hAnsi="Times New Roman" w:cs="Times New Roman"/>
        </w:rPr>
        <w:t xml:space="preserve"> de elementos de captação e escoamento de águas pluviais, impermeabilizações, adequações </w:t>
      </w:r>
      <w:r w:rsidRPr="00226FD9">
        <w:rPr>
          <w:rFonts w:ascii="Times New Roman" w:hAnsi="Times New Roman" w:cs="Times New Roman"/>
        </w:rPr>
        <w:lastRenderedPageBreak/>
        <w:t>necessárias das instalações afetadas pela intervenção e demais serviços correlatos, observando as normas técnicas vigentes, os requisitos de segurança, durabilidade, acessibilidade e conforto dos usuários.</w:t>
      </w:r>
    </w:p>
    <w:p w14:paraId="21B9BFBB" w14:textId="4CA67D94" w:rsidR="00431648" w:rsidRDefault="00226FD9">
      <w:pPr>
        <w:spacing w:line="360" w:lineRule="auto"/>
        <w:ind w:firstLine="709"/>
        <w:jc w:val="both"/>
        <w:rPr>
          <w:rFonts w:ascii="Times New Roman" w:hAnsi="Times New Roman" w:cs="Times New Roman"/>
        </w:rPr>
      </w:pPr>
      <w:r w:rsidRPr="00226FD9">
        <w:rPr>
          <w:rFonts w:ascii="Times New Roman" w:hAnsi="Times New Roman" w:cs="Times New Roman"/>
        </w:rPr>
        <w:t xml:space="preserve">A Reforma da Cobertura do Hospital Municipal </w:t>
      </w:r>
      <w:proofErr w:type="spellStart"/>
      <w:r w:rsidRPr="00226FD9">
        <w:rPr>
          <w:rFonts w:ascii="Times New Roman" w:hAnsi="Times New Roman" w:cs="Times New Roman"/>
        </w:rPr>
        <w:t>Cristyan</w:t>
      </w:r>
      <w:proofErr w:type="spellEnd"/>
      <w:r w:rsidRPr="00226FD9">
        <w:rPr>
          <w:rFonts w:ascii="Times New Roman" w:hAnsi="Times New Roman" w:cs="Times New Roman"/>
        </w:rPr>
        <w:t xml:space="preserve"> Mary da Silveira e Lima tem como objetivo preservar a infraestrutura da unidade hospitalar, eliminar problemas relacionados a infiltrações e deteriorações decorrentes da ação do tempo, proporcionar melhores condições de trabalho aos profissionais de saúde e assegurar ambientes adequados para o atendimento da população, contribuindo diretamente para a qualidade e eficiência dos serviços públicos de saúde prestados no município.</w:t>
      </w:r>
    </w:p>
    <w:p w14:paraId="473E90CF" w14:textId="77777777" w:rsidR="00226FD9" w:rsidRDefault="00226FD9">
      <w:pPr>
        <w:spacing w:line="360" w:lineRule="auto"/>
        <w:ind w:firstLine="709"/>
        <w:jc w:val="both"/>
        <w:rPr>
          <w:rFonts w:ascii="Times New Roman" w:hAnsi="Times New Roman" w:cs="Times New Roman"/>
        </w:rPr>
      </w:pPr>
    </w:p>
    <w:p w14:paraId="21B9BFBC"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b/>
          <w:bCs/>
          <w:lang w:val="pt-BR"/>
        </w:rPr>
        <w:t>ll. LOCALIZAÇÃO DA EXECUÇÃO DO OBJETO CONTRATUAL</w:t>
      </w:r>
    </w:p>
    <w:p w14:paraId="21B9BFBD" w14:textId="77777777" w:rsidR="00431648" w:rsidRDefault="00431648">
      <w:pPr>
        <w:pStyle w:val="SemEspaamento"/>
        <w:spacing w:line="360" w:lineRule="auto"/>
        <w:jc w:val="both"/>
        <w:rPr>
          <w:rFonts w:ascii="Times New Roman" w:hAnsi="Times New Roman" w:cs="Times New Roman"/>
        </w:rPr>
      </w:pPr>
    </w:p>
    <w:p w14:paraId="09C697A7" w14:textId="77777777" w:rsidR="002E3D6D" w:rsidRDefault="002E3D6D" w:rsidP="002E3D6D">
      <w:pPr>
        <w:pStyle w:val="SemEspaamento"/>
        <w:spacing w:line="360" w:lineRule="auto"/>
        <w:ind w:firstLine="720"/>
        <w:jc w:val="both"/>
        <w:rPr>
          <w:rFonts w:ascii="Times New Roman" w:hAnsi="Times New Roman" w:cs="Times New Roman"/>
          <w:lang w:val="pt-BR"/>
        </w:rPr>
      </w:pPr>
      <w:r w:rsidRPr="002E3D6D">
        <w:rPr>
          <w:rFonts w:ascii="Times New Roman" w:hAnsi="Times New Roman" w:cs="Times New Roman"/>
          <w:lang w:val="pt-BR"/>
        </w:rPr>
        <w:t xml:space="preserve">A obra será executada no Município de Rondonópolis – MT, nas dependências do Hospital Municipal </w:t>
      </w:r>
      <w:proofErr w:type="spellStart"/>
      <w:r w:rsidRPr="002E3D6D">
        <w:rPr>
          <w:rFonts w:ascii="Times New Roman" w:hAnsi="Times New Roman" w:cs="Times New Roman"/>
          <w:lang w:val="pt-BR"/>
        </w:rPr>
        <w:t>Cristyan</w:t>
      </w:r>
      <w:proofErr w:type="spellEnd"/>
      <w:r w:rsidRPr="002E3D6D">
        <w:rPr>
          <w:rFonts w:ascii="Times New Roman" w:hAnsi="Times New Roman" w:cs="Times New Roman"/>
          <w:lang w:val="pt-BR"/>
        </w:rPr>
        <w:t xml:space="preserve"> Mary da Silveira e Lima</w:t>
      </w:r>
      <w:r>
        <w:rPr>
          <w:rFonts w:ascii="Times New Roman" w:hAnsi="Times New Roman" w:cs="Times New Roman"/>
          <w:lang w:val="pt-BR"/>
        </w:rPr>
        <w:t xml:space="preserve"> na ave</w:t>
      </w:r>
    </w:p>
    <w:p w14:paraId="040D1503" w14:textId="0100764A" w:rsidR="002E3D6D" w:rsidRPr="002E3D6D" w:rsidRDefault="002E3D6D" w:rsidP="002E3D6D">
      <w:pPr>
        <w:pStyle w:val="SemEspaamento"/>
        <w:spacing w:line="360" w:lineRule="auto"/>
        <w:ind w:firstLine="720"/>
        <w:jc w:val="both"/>
        <w:rPr>
          <w:rFonts w:ascii="Times New Roman" w:hAnsi="Times New Roman" w:cs="Times New Roman"/>
          <w:lang w:val="pt-BR"/>
        </w:rPr>
      </w:pPr>
      <w:r w:rsidRPr="002E3D6D">
        <w:rPr>
          <w:rFonts w:ascii="Times New Roman" w:hAnsi="Times New Roman" w:cs="Times New Roman"/>
          <w:lang w:val="pt-BR"/>
        </w:rPr>
        <w:t>. A área destinada à intervenção corresponde ao setor da cobertura da edificação existente, inserida em lote com área total de 3.413,00 m².</w:t>
      </w:r>
    </w:p>
    <w:p w14:paraId="04EBCCD1" w14:textId="77777777" w:rsidR="002E3D6D" w:rsidRPr="002E3D6D" w:rsidRDefault="002E3D6D" w:rsidP="002E3D6D">
      <w:pPr>
        <w:pStyle w:val="SemEspaamento"/>
        <w:spacing w:line="360" w:lineRule="auto"/>
        <w:ind w:firstLine="720"/>
        <w:jc w:val="both"/>
        <w:rPr>
          <w:rFonts w:ascii="Times New Roman" w:hAnsi="Times New Roman" w:cs="Times New Roman"/>
          <w:lang w:val="pt-BR"/>
        </w:rPr>
      </w:pPr>
      <w:r w:rsidRPr="002E3D6D">
        <w:rPr>
          <w:rFonts w:ascii="Times New Roman" w:hAnsi="Times New Roman" w:cs="Times New Roman"/>
          <w:lang w:val="pt-BR"/>
        </w:rPr>
        <w:t>A área está situada na coordenada geográfica 16°28'57,68"S e 54°37'12,97"O, em região integrada à malha urbana local e de fácil acesso, permitindo a adequada logística para execução dos serviços e a continuidade das atividades desenvolvidas na unidade hospitalar.</w:t>
      </w:r>
    </w:p>
    <w:p w14:paraId="21B9BFC0" w14:textId="192E1044" w:rsidR="00431648" w:rsidRDefault="00431648">
      <w:pPr>
        <w:pStyle w:val="SemEspaamento"/>
        <w:spacing w:line="360" w:lineRule="auto"/>
        <w:jc w:val="both"/>
        <w:rPr>
          <w:rFonts w:ascii="Times New Roman" w:hAnsi="Times New Roman" w:cs="Times New Roman"/>
          <w:lang w:val="pt-BR"/>
        </w:rPr>
      </w:pPr>
    </w:p>
    <w:p w14:paraId="21B9BFC1" w14:textId="55851E1D" w:rsidR="00431648" w:rsidRDefault="00000000">
      <w:pPr>
        <w:pStyle w:val="SemEspaamento"/>
        <w:spacing w:line="360" w:lineRule="auto"/>
        <w:jc w:val="center"/>
        <w:rPr>
          <w:rFonts w:ascii="Times New Roman" w:hAnsi="Times New Roman" w:cs="Times New Roman"/>
          <w:lang w:val="pt-BR"/>
        </w:rPr>
      </w:pPr>
      <w:r>
        <w:rPr>
          <w:rFonts w:ascii="Times New Roman" w:hAnsi="Times New Roman" w:cs="Times New Roman"/>
          <w:noProof/>
          <w:lang w:val="pt-BR"/>
        </w:rPr>
        <mc:AlternateContent>
          <mc:Choice Requires="wps">
            <w:drawing>
              <wp:anchor distT="0" distB="0" distL="114300" distR="114300" simplePos="0" relativeHeight="251663360" behindDoc="0" locked="0" layoutInCell="1" allowOverlap="1" wp14:anchorId="21B9C0EE" wp14:editId="7D5D56AE">
                <wp:simplePos x="0" y="0"/>
                <wp:positionH relativeFrom="column">
                  <wp:posOffset>2665095</wp:posOffset>
                </wp:positionH>
                <wp:positionV relativeFrom="paragraph">
                  <wp:posOffset>624205</wp:posOffset>
                </wp:positionV>
                <wp:extent cx="1855470" cy="1687830"/>
                <wp:effectExtent l="19050" t="19050" r="11430" b="26670"/>
                <wp:wrapNone/>
                <wp:docPr id="1183237388" name="Retângulo 6"/>
                <wp:cNvGraphicFramePr/>
                <a:graphic xmlns:a="http://schemas.openxmlformats.org/drawingml/2006/main">
                  <a:graphicData uri="http://schemas.microsoft.com/office/word/2010/wordprocessingShape">
                    <wps:wsp>
                      <wps:cNvSpPr/>
                      <wps:spPr>
                        <a:xfrm>
                          <a:off x="0" y="0"/>
                          <a:ext cx="1855470" cy="1687830"/>
                        </a:xfrm>
                        <a:prstGeom prst="rect">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597A88B8" id="Retângulo 6" o:spid="_x0000_s1026" style="position:absolute;margin-left:209.85pt;margin-top:49.15pt;width:146.1pt;height:132.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" filled="f" strokecolor="#e00" strokeweight="3pt"/>
            </w:pict>
          </mc:Fallback>
        </mc:AlternateContent>
      </w:r>
      <w:r w:rsidR="002E3D6D" w:rsidRPr="002E3D6D">
        <w:rPr>
          <w:noProof/>
        </w:rPr>
        <w:t xml:space="preserve"> </w:t>
      </w:r>
      <w:r w:rsidR="002E3D6D" w:rsidRPr="002E3D6D">
        <w:rPr>
          <w:rFonts w:ascii="Times New Roman" w:hAnsi="Times New Roman" w:cs="Times New Roman"/>
          <w:noProof/>
          <w:lang w:val="pt-BR"/>
        </w:rPr>
        <w:drawing>
          <wp:inline distT="0" distB="0" distL="0" distR="0" wp14:anchorId="4B583407" wp14:editId="374289F2">
            <wp:extent cx="2822446" cy="2986405"/>
            <wp:effectExtent l="0" t="0" r="0" b="4445"/>
            <wp:docPr id="13193737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373734" name=""/>
                    <pic:cNvPicPr/>
                  </pic:nvPicPr>
                  <pic:blipFill>
                    <a:blip r:embed="rId10"/>
                    <a:stretch>
                      <a:fillRect/>
                    </a:stretch>
                  </pic:blipFill>
                  <pic:spPr>
                    <a:xfrm>
                      <a:off x="0" y="0"/>
                      <a:ext cx="2831560" cy="2996048"/>
                    </a:xfrm>
                    <a:prstGeom prst="rect">
                      <a:avLst/>
                    </a:prstGeom>
                  </pic:spPr>
                </pic:pic>
              </a:graphicData>
            </a:graphic>
          </wp:inline>
        </w:drawing>
      </w:r>
    </w:p>
    <w:p w14:paraId="21B9BFC2" w14:textId="6CA123EF" w:rsidR="00431648" w:rsidRDefault="00000000" w:rsidP="002E3D6D">
      <w:pPr>
        <w:pStyle w:val="SemEspaamento"/>
        <w:jc w:val="center"/>
        <w:rPr>
          <w:rFonts w:ascii="Times New Roman" w:hAnsi="Times New Roman" w:cs="Times New Roman"/>
          <w:sz w:val="20"/>
          <w:szCs w:val="20"/>
        </w:rPr>
      </w:pPr>
      <w:r>
        <w:rPr>
          <w:rFonts w:ascii="Times New Roman" w:hAnsi="Times New Roman" w:cs="Times New Roman"/>
          <w:b/>
          <w:bCs/>
          <w:sz w:val="20"/>
          <w:szCs w:val="20"/>
        </w:rPr>
        <w:t xml:space="preserve">Figura 1 </w:t>
      </w:r>
      <w:r>
        <w:rPr>
          <w:rFonts w:ascii="Times New Roman" w:hAnsi="Times New Roman" w:cs="Times New Roman"/>
          <w:sz w:val="20"/>
          <w:szCs w:val="20"/>
        </w:rPr>
        <w:t xml:space="preserve">– Localização da </w:t>
      </w:r>
      <w:r w:rsidR="002E3D6D">
        <w:rPr>
          <w:rFonts w:ascii="Times New Roman" w:hAnsi="Times New Roman" w:cs="Times New Roman"/>
          <w:sz w:val="20"/>
          <w:szCs w:val="20"/>
        </w:rPr>
        <w:t>Hospital Cr</w:t>
      </w:r>
      <w:r w:rsidR="00AF1CEA">
        <w:rPr>
          <w:rFonts w:ascii="Times New Roman" w:hAnsi="Times New Roman" w:cs="Times New Roman"/>
          <w:sz w:val="20"/>
          <w:szCs w:val="20"/>
        </w:rPr>
        <w:t>i</w:t>
      </w:r>
      <w:r w:rsidR="002E3D6D">
        <w:rPr>
          <w:rFonts w:ascii="Times New Roman" w:hAnsi="Times New Roman" w:cs="Times New Roman"/>
          <w:sz w:val="20"/>
          <w:szCs w:val="20"/>
        </w:rPr>
        <w:t>st</w:t>
      </w:r>
      <w:r w:rsidR="00AF1CEA">
        <w:rPr>
          <w:rFonts w:ascii="Times New Roman" w:hAnsi="Times New Roman" w:cs="Times New Roman"/>
          <w:sz w:val="20"/>
          <w:szCs w:val="20"/>
        </w:rPr>
        <w:t>ya</w:t>
      </w:r>
      <w:r w:rsidR="002E3D6D">
        <w:rPr>
          <w:rFonts w:ascii="Times New Roman" w:hAnsi="Times New Roman" w:cs="Times New Roman"/>
          <w:sz w:val="20"/>
          <w:szCs w:val="20"/>
        </w:rPr>
        <w:t>n Mary</w:t>
      </w:r>
      <w:r>
        <w:rPr>
          <w:rFonts w:ascii="Times New Roman" w:hAnsi="Times New Roman" w:cs="Times New Roman"/>
          <w:sz w:val="20"/>
          <w:szCs w:val="20"/>
        </w:rPr>
        <w:t>.</w:t>
      </w:r>
    </w:p>
    <w:p w14:paraId="3DA25793" w14:textId="18066A7C" w:rsidR="00DA2CF4" w:rsidRPr="00DA2CF4" w:rsidRDefault="00000000" w:rsidP="00DA2CF4">
      <w:pPr>
        <w:spacing w:before="115"/>
        <w:ind w:right="53"/>
        <w:jc w:val="center"/>
        <w:rPr>
          <w:spacing w:val="-2"/>
          <w:sz w:val="18"/>
        </w:rPr>
      </w:pPr>
      <w:r>
        <w:rPr>
          <w:sz w:val="18"/>
        </w:rPr>
        <w:t>Fonte: Google Maps,</w:t>
      </w:r>
      <w:r>
        <w:rPr>
          <w:spacing w:val="-1"/>
          <w:sz w:val="18"/>
        </w:rPr>
        <w:t xml:space="preserve"> </w:t>
      </w:r>
      <w:r>
        <w:rPr>
          <w:spacing w:val="-2"/>
          <w:sz w:val="18"/>
        </w:rPr>
        <w:t>202</w:t>
      </w:r>
      <w:r w:rsidR="002E3D6D">
        <w:rPr>
          <w:spacing w:val="-2"/>
          <w:sz w:val="18"/>
        </w:rPr>
        <w:t>6</w:t>
      </w:r>
      <w:r>
        <w:rPr>
          <w:spacing w:val="-2"/>
          <w:sz w:val="18"/>
        </w:rPr>
        <w:t>.</w:t>
      </w:r>
    </w:p>
    <w:p w14:paraId="21B9BFCA"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b/>
          <w:bCs/>
          <w:lang w:val="pt-BR"/>
        </w:rPr>
        <w:lastRenderedPageBreak/>
        <w:t>III. NATUREZA E FINALIDADE DO OBJETO CONTRATUAL</w:t>
      </w:r>
    </w:p>
    <w:p w14:paraId="21B9BFCB" w14:textId="77777777" w:rsidR="00431648" w:rsidRDefault="00431648" w:rsidP="00DA2CF4">
      <w:pPr>
        <w:pStyle w:val="SemEspaamento"/>
        <w:spacing w:line="360" w:lineRule="auto"/>
        <w:jc w:val="both"/>
        <w:rPr>
          <w:rFonts w:ascii="Times New Roman" w:hAnsi="Times New Roman" w:cs="Times New Roman"/>
          <w:lang w:val="pt-BR"/>
        </w:rPr>
      </w:pPr>
    </w:p>
    <w:p w14:paraId="6FF175C6" w14:textId="77777777" w:rsidR="00DA2CF4" w:rsidRPr="00DA2CF4" w:rsidRDefault="00000000" w:rsidP="00DA2CF4">
      <w:pPr>
        <w:pStyle w:val="SemEspaamento"/>
        <w:spacing w:line="360" w:lineRule="auto"/>
        <w:jc w:val="both"/>
        <w:rPr>
          <w:rFonts w:ascii="Times New Roman" w:hAnsi="Times New Roman" w:cs="Times New Roman"/>
        </w:rPr>
      </w:pPr>
      <w:r>
        <w:rPr>
          <w:rFonts w:ascii="Times New Roman" w:hAnsi="Times New Roman" w:cs="Times New Roman"/>
          <w:lang w:val="pt-BR"/>
        </w:rPr>
        <w:tab/>
      </w:r>
      <w:r w:rsidR="00DA2CF4" w:rsidRPr="00DA2CF4">
        <w:rPr>
          <w:rFonts w:ascii="Times New Roman" w:hAnsi="Times New Roman" w:cs="Times New Roman"/>
        </w:rPr>
        <w:t>O presente Estudo Técnico Preliminar trata da contratação de obra pública para a execução da Reforma da Cobertura do Hospital Municipal Cristyan Mary da Silveira e Lima, no Município de Rondonópolis - MT. A intervenção visa promover a recuperação das condições de segurança, estanqueidade e funcionalidade da edificação, assegurando a adequada prestação dos serviços de saúde à população.</w:t>
      </w:r>
    </w:p>
    <w:p w14:paraId="1D40292A" w14:textId="77777777" w:rsidR="00DA2CF4" w:rsidRPr="00DA2CF4" w:rsidRDefault="00DA2CF4" w:rsidP="00DA2CF4">
      <w:pPr>
        <w:pStyle w:val="SemEspaamento"/>
        <w:spacing w:line="360" w:lineRule="auto"/>
        <w:ind w:firstLine="720"/>
        <w:jc w:val="both"/>
        <w:rPr>
          <w:rFonts w:ascii="Times New Roman" w:hAnsi="Times New Roman" w:cs="Times New Roman"/>
        </w:rPr>
      </w:pPr>
      <w:r w:rsidRPr="00DA2CF4">
        <w:rPr>
          <w:rFonts w:ascii="Times New Roman" w:hAnsi="Times New Roman" w:cs="Times New Roman"/>
        </w:rPr>
        <w:t>Nos termos do Art. 6º, inciso XII, da Lei nº 14.133/2021, caracteriza-se como obra toda atividade que implica intervenção no meio ambiente, mediante um conjunto harmônico de ações que resultam na inovação do espaço físico da natureza ou na alteração substancial das características originais de bem imóvel.</w:t>
      </w:r>
    </w:p>
    <w:p w14:paraId="4177EA07" w14:textId="77777777" w:rsidR="00DA2CF4" w:rsidRPr="00DA2CF4" w:rsidRDefault="00DA2CF4" w:rsidP="00DA2CF4">
      <w:pPr>
        <w:pStyle w:val="SemEspaamento"/>
        <w:spacing w:line="360" w:lineRule="auto"/>
        <w:ind w:firstLine="720"/>
        <w:jc w:val="both"/>
        <w:rPr>
          <w:rFonts w:ascii="Times New Roman" w:hAnsi="Times New Roman" w:cs="Times New Roman"/>
        </w:rPr>
      </w:pPr>
      <w:r w:rsidRPr="00DA2CF4">
        <w:rPr>
          <w:rFonts w:ascii="Times New Roman" w:hAnsi="Times New Roman" w:cs="Times New Roman"/>
        </w:rPr>
        <w:t>Adicionalmente, embora a execução da obra envolva a necessidade de profissionais habilitados com Anotação de Responsabilidade Técnica (ART), bem como o atendimento a requisitos técnicos específicos de engenharia civil, estrutural, de segurança e demais disciplinas correlatas, tais elementos são inerentes à execução de obras de engenharia, não descaracterizando sua natureza principal.</w:t>
      </w:r>
    </w:p>
    <w:p w14:paraId="3059EA1B" w14:textId="77777777" w:rsidR="00DA2CF4" w:rsidRPr="00DA2CF4" w:rsidRDefault="00DA2CF4" w:rsidP="00DA2CF4">
      <w:pPr>
        <w:pStyle w:val="SemEspaamento"/>
        <w:spacing w:line="360" w:lineRule="auto"/>
        <w:ind w:firstLine="720"/>
        <w:jc w:val="both"/>
        <w:rPr>
          <w:rFonts w:ascii="Times New Roman" w:hAnsi="Times New Roman" w:cs="Times New Roman"/>
        </w:rPr>
      </w:pPr>
      <w:r w:rsidRPr="00DA2CF4">
        <w:rPr>
          <w:rFonts w:ascii="Times New Roman" w:hAnsi="Times New Roman" w:cs="Times New Roman"/>
        </w:rPr>
        <w:t>Portanto, a natureza do objeto é classificada como obra de engenharia, com a finalidade de preservar a infraestrutura pública existente, garantir condições adequadas de uso da edificação hospitalar, proteger usuários e servidores e assegurar a continuidade e a qualidade dos serviços públicos de saúde prestados à população.</w:t>
      </w:r>
    </w:p>
    <w:p w14:paraId="21B9BFD1" w14:textId="77777777" w:rsidR="00431648" w:rsidRPr="00DA2CF4" w:rsidRDefault="00431648">
      <w:pPr>
        <w:pStyle w:val="SemEspaamento"/>
        <w:spacing w:line="360" w:lineRule="auto"/>
        <w:jc w:val="both"/>
        <w:rPr>
          <w:rFonts w:ascii="Times New Roman" w:hAnsi="Times New Roman" w:cs="Times New Roman"/>
        </w:rPr>
      </w:pPr>
    </w:p>
    <w:tbl>
      <w:tblPr>
        <w:tblStyle w:val="TabeladeGradeClara1"/>
        <w:tblW w:w="10366" w:type="dxa"/>
        <w:tblLayout w:type="fixed"/>
        <w:tblLook w:val="04A0" w:firstRow="1" w:lastRow="0" w:firstColumn="1" w:lastColumn="0" w:noHBand="0" w:noVBand="1"/>
      </w:tblPr>
      <w:tblGrid>
        <w:gridCol w:w="10366"/>
      </w:tblGrid>
      <w:tr w:rsidR="00431648" w14:paraId="21B9BFD3" w14:textId="77777777">
        <w:trPr>
          <w:trHeight w:val="367"/>
        </w:trPr>
        <w:tc>
          <w:tcPr>
            <w:tcW w:w="10366" w:type="dxa"/>
            <w:shd w:val="clear" w:color="auto" w:fill="D0CECE" w:themeFill="background2" w:themeFillShade="E6"/>
            <w:vAlign w:val="center"/>
          </w:tcPr>
          <w:p w14:paraId="21B9BFD2" w14:textId="77777777" w:rsidR="00431648" w:rsidRDefault="00000000">
            <w:pPr>
              <w:pStyle w:val="Ttulo"/>
              <w:spacing w:line="360" w:lineRule="auto"/>
              <w:rPr>
                <w:rFonts w:ascii="Times New Roman" w:hAnsi="Times New Roman" w:cs="Times New Roman"/>
              </w:rPr>
            </w:pPr>
            <w:bookmarkStart w:id="1" w:name="_Toc193444195"/>
            <w:bookmarkStart w:id="2" w:name="_Toc194397098"/>
            <w:r>
              <w:rPr>
                <w:rFonts w:ascii="Times New Roman" w:hAnsi="Times New Roman" w:cs="Times New Roman"/>
              </w:rPr>
              <w:t>2. DEFINIÇÃO DO OBJETO (art. 18º, §1º, INCISO “I”)</w:t>
            </w:r>
            <w:bookmarkEnd w:id="1"/>
            <w:bookmarkEnd w:id="2"/>
          </w:p>
        </w:tc>
      </w:tr>
    </w:tbl>
    <w:p w14:paraId="21B9BFD4" w14:textId="77777777" w:rsidR="00431648" w:rsidRDefault="00431648">
      <w:pPr>
        <w:pStyle w:val="SemEspaamento"/>
        <w:spacing w:line="360" w:lineRule="auto"/>
        <w:jc w:val="both"/>
        <w:rPr>
          <w:rFonts w:ascii="Times New Roman" w:hAnsi="Times New Roman" w:cs="Times New Roman"/>
          <w:lang w:val="pt-BR"/>
        </w:rPr>
      </w:pPr>
    </w:p>
    <w:p w14:paraId="21B9BFD5"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da necessidade da contratação, considerado o problema a ser resolvido sob a perspectiva do interesse público. (Inciso I do § 1° do art. 18 da Lei 14.133/2021 e art. 9°, inciso I da IN 58/2022).</w:t>
      </w:r>
    </w:p>
    <w:p w14:paraId="21B9BFD6" w14:textId="77777777" w:rsidR="00431648" w:rsidRDefault="00431648">
      <w:pPr>
        <w:spacing w:line="360" w:lineRule="auto"/>
        <w:ind w:left="2835" w:right="-1"/>
        <w:jc w:val="both"/>
        <w:rPr>
          <w:rFonts w:ascii="Times New Roman" w:hAnsi="Times New Roman" w:cs="Times New Roman"/>
          <w:sz w:val="18"/>
          <w:szCs w:val="14"/>
        </w:rPr>
      </w:pPr>
    </w:p>
    <w:p w14:paraId="7A07226A" w14:textId="77777777" w:rsidR="00DA2CF4" w:rsidRPr="00DA2CF4" w:rsidRDefault="00000000" w:rsidP="00DA2CF4">
      <w:pPr>
        <w:pStyle w:val="SemEspaamento"/>
        <w:spacing w:line="360" w:lineRule="auto"/>
        <w:jc w:val="both"/>
        <w:rPr>
          <w:rFonts w:ascii="Times New Roman" w:hAnsi="Times New Roman" w:cs="Times New Roman"/>
          <w:lang w:val="pt-BR"/>
        </w:rPr>
      </w:pPr>
      <w:r>
        <w:rPr>
          <w:rFonts w:ascii="Times New Roman" w:hAnsi="Times New Roman" w:cs="Times New Roman"/>
          <w:lang w:val="pt-BR"/>
        </w:rPr>
        <w:tab/>
      </w:r>
      <w:r w:rsidR="00DA2CF4" w:rsidRPr="00DA2CF4">
        <w:rPr>
          <w:rFonts w:ascii="Times New Roman" w:hAnsi="Times New Roman" w:cs="Times New Roman"/>
          <w:lang w:val="pt-BR"/>
        </w:rPr>
        <w:t xml:space="preserve">A presente contratação tem como objeto a execução da Reforma da Cobertura do Hospital Municipal </w:t>
      </w:r>
      <w:proofErr w:type="spellStart"/>
      <w:r w:rsidR="00DA2CF4" w:rsidRPr="00DA2CF4">
        <w:rPr>
          <w:rFonts w:ascii="Times New Roman" w:hAnsi="Times New Roman" w:cs="Times New Roman"/>
          <w:lang w:val="pt-BR"/>
        </w:rPr>
        <w:t>Cristyan</w:t>
      </w:r>
      <w:proofErr w:type="spellEnd"/>
      <w:r w:rsidR="00DA2CF4" w:rsidRPr="00DA2CF4">
        <w:rPr>
          <w:rFonts w:ascii="Times New Roman" w:hAnsi="Times New Roman" w:cs="Times New Roman"/>
          <w:lang w:val="pt-BR"/>
        </w:rPr>
        <w:t xml:space="preserve"> Mary da Silveira e Lima, no Município de Rondonópolis – MT, com a finalidade de restabelecer as condições adequadas de segurança, estanqueidade e funcionalidade da edificação, assegurando a continuidade e a qualidade dos serviços de saúde prestados à população.</w:t>
      </w:r>
    </w:p>
    <w:p w14:paraId="7EC02554" w14:textId="77777777" w:rsidR="00DA2CF4" w:rsidRPr="00DA2CF4" w:rsidRDefault="00DA2CF4" w:rsidP="00DA2CF4">
      <w:pPr>
        <w:pStyle w:val="SemEspaamento"/>
        <w:spacing w:line="360" w:lineRule="auto"/>
        <w:ind w:firstLine="720"/>
        <w:jc w:val="both"/>
        <w:rPr>
          <w:rFonts w:ascii="Times New Roman" w:hAnsi="Times New Roman" w:cs="Times New Roman"/>
          <w:lang w:val="pt-BR"/>
        </w:rPr>
      </w:pPr>
      <w:r w:rsidRPr="00DA2CF4">
        <w:rPr>
          <w:rFonts w:ascii="Times New Roman" w:hAnsi="Times New Roman" w:cs="Times New Roman"/>
          <w:lang w:val="pt-BR"/>
        </w:rPr>
        <w:t>Dessa forma, a execução da intervenção se mostra necessária e estratégica, contribuindo para a preservação da infraestrutura pública, a proteção dos ambientes internos contra infiltrações e demais patologias construtivas, a melhoria das condições de trabalho dos profissionais de saúde e a qualificação dos espaços destinados ao atendimento da população, fortalecendo a rede municipal de saúde em consonância com os princípios do Sistema Único de Saúde – SUS.</w:t>
      </w:r>
    </w:p>
    <w:p w14:paraId="21B9BFD9" w14:textId="2C650C37" w:rsidR="00431648" w:rsidRDefault="00431648" w:rsidP="00DA2CF4">
      <w:pPr>
        <w:pStyle w:val="SemEspaamento"/>
        <w:spacing w:line="360" w:lineRule="auto"/>
        <w:jc w:val="both"/>
        <w:rPr>
          <w:rFonts w:ascii="Times New Roman" w:hAnsi="Times New Roman" w:cs="Times New Roman"/>
        </w:rPr>
      </w:pPr>
    </w:p>
    <w:p w14:paraId="21B9BFDB" w14:textId="77777777" w:rsidR="00431648" w:rsidRDefault="00431648" w:rsidP="00DA2CF4">
      <w:pPr>
        <w:pStyle w:val="SemEspaamento"/>
        <w:spacing w:line="360" w:lineRule="auto"/>
        <w:jc w:val="both"/>
        <w:rPr>
          <w:rFonts w:ascii="Times New Roman" w:hAnsi="Times New Roman" w:cs="Times New Roman"/>
        </w:rPr>
      </w:pPr>
    </w:p>
    <w:tbl>
      <w:tblPr>
        <w:tblStyle w:val="TabeladeGradeClara1"/>
        <w:tblW w:w="10366" w:type="dxa"/>
        <w:tblLayout w:type="fixed"/>
        <w:tblLook w:val="04A0" w:firstRow="1" w:lastRow="0" w:firstColumn="1" w:lastColumn="0" w:noHBand="0" w:noVBand="1"/>
      </w:tblPr>
      <w:tblGrid>
        <w:gridCol w:w="10366"/>
      </w:tblGrid>
      <w:tr w:rsidR="00431648" w14:paraId="21B9BFDD" w14:textId="77777777">
        <w:trPr>
          <w:trHeight w:val="367"/>
        </w:trPr>
        <w:tc>
          <w:tcPr>
            <w:tcW w:w="10366" w:type="dxa"/>
            <w:shd w:val="clear" w:color="auto" w:fill="D0CECE" w:themeFill="background2" w:themeFillShade="E6"/>
            <w:vAlign w:val="center"/>
          </w:tcPr>
          <w:p w14:paraId="21B9BFDC" w14:textId="77777777" w:rsidR="00431648" w:rsidRDefault="00000000">
            <w:pPr>
              <w:pStyle w:val="Ttulo"/>
              <w:spacing w:line="360" w:lineRule="auto"/>
              <w:rPr>
                <w:rFonts w:ascii="Times New Roman" w:hAnsi="Times New Roman" w:cs="Times New Roman"/>
              </w:rPr>
            </w:pPr>
            <w:bookmarkStart w:id="3" w:name="_Toc194397099"/>
            <w:r>
              <w:rPr>
                <w:rFonts w:ascii="Times New Roman" w:hAnsi="Times New Roman" w:cs="Times New Roman"/>
              </w:rPr>
              <w:t>3. PLANO DE CONTRATAÇÃO ANUAL (art. 18º, §1º, INCISO “II”)</w:t>
            </w:r>
            <w:bookmarkEnd w:id="3"/>
          </w:p>
        </w:tc>
      </w:tr>
    </w:tbl>
    <w:p w14:paraId="21B9BFDE" w14:textId="77777777" w:rsidR="00431648" w:rsidRDefault="00431648">
      <w:pPr>
        <w:pStyle w:val="SemEspaamento"/>
        <w:spacing w:line="360" w:lineRule="auto"/>
        <w:jc w:val="both"/>
        <w:rPr>
          <w:rFonts w:ascii="Times New Roman" w:hAnsi="Times New Roman" w:cs="Times New Roman"/>
          <w:lang w:val="pt-BR"/>
        </w:rPr>
      </w:pPr>
    </w:p>
    <w:p w14:paraId="21B9BFDF"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Demonstração da previsão da contratação no plano de contratações anual, sempre que elaborado, de modo a indicar o seu alinhamento com o planejamento da Administração; (inciso II do § 1° do art. 18 da Lei 14.133/21 e art. 9°, inciso IX da IN 58/2022).</w:t>
      </w:r>
    </w:p>
    <w:p w14:paraId="21B9BFE0" w14:textId="77777777" w:rsidR="00431648" w:rsidRDefault="00431648">
      <w:pPr>
        <w:pStyle w:val="SemEspaamento"/>
        <w:spacing w:line="360" w:lineRule="auto"/>
        <w:jc w:val="both"/>
        <w:rPr>
          <w:rFonts w:ascii="Times New Roman" w:hAnsi="Times New Roman" w:cs="Times New Roman"/>
          <w:lang w:val="pt-BR"/>
        </w:rPr>
      </w:pPr>
    </w:p>
    <w:p w14:paraId="2A0118A3" w14:textId="77777777" w:rsidR="00DA2CF4" w:rsidRPr="00DA2CF4" w:rsidRDefault="00DA2CF4" w:rsidP="00DA2CF4">
      <w:pPr>
        <w:pStyle w:val="SemEspaamento"/>
        <w:spacing w:line="360" w:lineRule="auto"/>
        <w:ind w:firstLine="720"/>
        <w:jc w:val="both"/>
        <w:rPr>
          <w:rFonts w:ascii="Times New Roman" w:hAnsi="Times New Roman" w:cs="Times New Roman"/>
          <w:lang w:val="pt-BR"/>
        </w:rPr>
      </w:pPr>
      <w:r w:rsidRPr="00DA2CF4">
        <w:rPr>
          <w:rFonts w:ascii="Times New Roman" w:hAnsi="Times New Roman" w:cs="Times New Roman"/>
          <w:lang w:val="pt-BR"/>
        </w:rPr>
        <w:t>O Plano de Contratações Anual (PCA) é uma ferramenta essencial de gestão que visa orientar e organizar as aquisições e contratações do setor público, promovendo o alinhamento entre o planejamento orçamentário e as demandas administrativas. Esse instrumento permite maior previsibilidade, controle e eficiência na aplicação dos recursos públicos.</w:t>
      </w:r>
    </w:p>
    <w:p w14:paraId="071AE775" w14:textId="77777777" w:rsidR="00DA2CF4" w:rsidRPr="00DA2CF4" w:rsidRDefault="00DA2CF4" w:rsidP="00DA2CF4">
      <w:pPr>
        <w:pStyle w:val="SemEspaamento"/>
        <w:spacing w:line="360" w:lineRule="auto"/>
        <w:ind w:firstLine="720"/>
        <w:jc w:val="both"/>
        <w:rPr>
          <w:rFonts w:ascii="Times New Roman" w:hAnsi="Times New Roman" w:cs="Times New Roman"/>
          <w:lang w:val="pt-BR"/>
        </w:rPr>
      </w:pPr>
      <w:r w:rsidRPr="00DA2CF4">
        <w:rPr>
          <w:rFonts w:ascii="Times New Roman" w:hAnsi="Times New Roman" w:cs="Times New Roman"/>
          <w:lang w:val="pt-BR"/>
        </w:rPr>
        <w:t xml:space="preserve">No entanto, a presente contratação — que tem como objetivo a execução da Reforma da Cobertura do Hospital Municipal </w:t>
      </w:r>
      <w:proofErr w:type="spellStart"/>
      <w:r w:rsidRPr="00DA2CF4">
        <w:rPr>
          <w:rFonts w:ascii="Times New Roman" w:hAnsi="Times New Roman" w:cs="Times New Roman"/>
          <w:lang w:val="pt-BR"/>
        </w:rPr>
        <w:t>Cristyan</w:t>
      </w:r>
      <w:proofErr w:type="spellEnd"/>
      <w:r w:rsidRPr="00DA2CF4">
        <w:rPr>
          <w:rFonts w:ascii="Times New Roman" w:hAnsi="Times New Roman" w:cs="Times New Roman"/>
          <w:lang w:val="pt-BR"/>
        </w:rPr>
        <w:t xml:space="preserve"> Mary da Silveira e Lima, no Município de Rondonópolis — ainda não foi inserida no PCA vigente. Trata-se, contudo, de uma demanda prioritária, identificada a partir da necessidade de intervenção na cobertura da unidade hospitalar, em razão das condições de desgaste e da necessidade de preservação da infraestrutura física destinada à prestação dos serviços públicos de saúde.</w:t>
      </w:r>
    </w:p>
    <w:p w14:paraId="2E2E167F" w14:textId="77777777" w:rsidR="00DA2CF4" w:rsidRPr="00DA2CF4" w:rsidRDefault="00DA2CF4" w:rsidP="00DA2CF4">
      <w:pPr>
        <w:pStyle w:val="SemEspaamento"/>
        <w:spacing w:line="360" w:lineRule="auto"/>
        <w:ind w:firstLine="720"/>
        <w:jc w:val="both"/>
        <w:rPr>
          <w:rFonts w:ascii="Times New Roman" w:hAnsi="Times New Roman" w:cs="Times New Roman"/>
          <w:lang w:val="pt-BR"/>
        </w:rPr>
      </w:pPr>
      <w:r w:rsidRPr="00DA2CF4">
        <w:rPr>
          <w:rFonts w:ascii="Times New Roman" w:hAnsi="Times New Roman" w:cs="Times New Roman"/>
          <w:lang w:val="pt-BR"/>
        </w:rPr>
        <w:t>Diante disso, após a conclusão deste Estudo Técnico Preliminar (ETP) e mediante a definição do valor estimado da contratação, o projeto será devidamente incluído no Plano de Contratações Anual, respeitando os trâmites legais e os princípios do planejamento público. A inclusão posterior permitirá o adequado registro orçamentário e a publicação nos meios oficiais.</w:t>
      </w:r>
    </w:p>
    <w:p w14:paraId="21B9BFE4"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BFE6" w14:textId="77777777">
        <w:trPr>
          <w:trHeight w:val="367"/>
        </w:trPr>
        <w:tc>
          <w:tcPr>
            <w:tcW w:w="10366" w:type="dxa"/>
            <w:shd w:val="clear" w:color="auto" w:fill="D0CECE" w:themeFill="background2" w:themeFillShade="E6"/>
            <w:vAlign w:val="center"/>
          </w:tcPr>
          <w:p w14:paraId="21B9BFE5" w14:textId="77777777" w:rsidR="00431648" w:rsidRDefault="00000000">
            <w:pPr>
              <w:pStyle w:val="Ttulo"/>
              <w:spacing w:line="360" w:lineRule="auto"/>
              <w:rPr>
                <w:rFonts w:ascii="Times New Roman" w:hAnsi="Times New Roman" w:cs="Times New Roman"/>
              </w:rPr>
            </w:pPr>
            <w:bookmarkStart w:id="4" w:name="_Toc194397100"/>
            <w:r>
              <w:rPr>
                <w:rFonts w:ascii="Times New Roman" w:hAnsi="Times New Roman" w:cs="Times New Roman"/>
              </w:rPr>
              <w:t>4. DESCRIÇÃO DOS REQUISITOS DA CONTRATAÇÃO (art. 18º, §1º, INCISO “III”)</w:t>
            </w:r>
            <w:bookmarkEnd w:id="4"/>
          </w:p>
        </w:tc>
      </w:tr>
    </w:tbl>
    <w:p w14:paraId="21B9BFE7" w14:textId="77777777" w:rsidR="00431648" w:rsidRDefault="00431648">
      <w:pPr>
        <w:pStyle w:val="SemEspaamento"/>
        <w:spacing w:line="360" w:lineRule="auto"/>
        <w:jc w:val="both"/>
        <w:rPr>
          <w:rFonts w:ascii="Times New Roman" w:hAnsi="Times New Roman" w:cs="Times New Roman"/>
          <w:lang w:val="pt-BR"/>
        </w:rPr>
      </w:pPr>
    </w:p>
    <w:p w14:paraId="21B9BFE8" w14:textId="77777777" w:rsidR="00431648" w:rsidRDefault="00000000">
      <w:pPr>
        <w:spacing w:line="360" w:lineRule="auto"/>
        <w:ind w:left="2835" w:right="-1"/>
        <w:jc w:val="both"/>
        <w:rPr>
          <w:rFonts w:ascii="Times New Roman" w:hAnsi="Times New Roman" w:cs="Times New Roman"/>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da necessidade da contratação, considerado o problema a ser resolvido sob a perspectiva do interesse público. (Inciso III do § 1° do art. 18 da Lei 14.133/2021 e art. 9°, inciso II da IN 58/2022).</w:t>
      </w:r>
    </w:p>
    <w:p w14:paraId="21B9BFE9" w14:textId="77777777" w:rsidR="00431648" w:rsidRDefault="00431648">
      <w:pPr>
        <w:pStyle w:val="SemEspaamento"/>
        <w:spacing w:line="360" w:lineRule="auto"/>
        <w:jc w:val="both"/>
        <w:rPr>
          <w:rFonts w:ascii="Times New Roman" w:hAnsi="Times New Roman" w:cs="Times New Roman"/>
          <w:lang w:val="pt-BR"/>
        </w:rPr>
      </w:pPr>
    </w:p>
    <w:p w14:paraId="6D4F998C" w14:textId="77777777" w:rsidR="00DA2CF4" w:rsidRPr="00DA2CF4" w:rsidRDefault="00000000" w:rsidP="00DA2CF4">
      <w:pPr>
        <w:pStyle w:val="SemEspaamento"/>
        <w:spacing w:line="360" w:lineRule="auto"/>
        <w:jc w:val="both"/>
        <w:rPr>
          <w:rFonts w:ascii="Times New Roman" w:hAnsi="Times New Roman" w:cs="Times New Roman"/>
        </w:rPr>
      </w:pPr>
      <w:r>
        <w:rPr>
          <w:rFonts w:ascii="Times New Roman" w:hAnsi="Times New Roman" w:cs="Times New Roman"/>
        </w:rPr>
        <w:tab/>
      </w:r>
      <w:r w:rsidR="00DA2CF4" w:rsidRPr="00DA2CF4">
        <w:rPr>
          <w:rFonts w:ascii="Times New Roman" w:hAnsi="Times New Roman" w:cs="Times New Roman"/>
        </w:rPr>
        <w:t>A empresa contratada deverá possuir comprovada capacitação técnica e experiência na execução de obras civis, especialmente em serviços de reforma, recuperação e manutenção de edificações, conforme os serviços previstos nos projetos, memoriais descritivos e planilhas orçamentárias que integrarão o processo licitatório.</w:t>
      </w:r>
    </w:p>
    <w:p w14:paraId="21C26ECC" w14:textId="77777777" w:rsidR="00DA2CF4" w:rsidRPr="00DA2CF4" w:rsidRDefault="00DA2CF4" w:rsidP="00DA2CF4">
      <w:pPr>
        <w:pStyle w:val="SemEspaamento"/>
        <w:spacing w:line="360" w:lineRule="auto"/>
        <w:ind w:firstLine="720"/>
        <w:jc w:val="both"/>
        <w:rPr>
          <w:rFonts w:ascii="Times New Roman" w:hAnsi="Times New Roman" w:cs="Times New Roman"/>
        </w:rPr>
      </w:pPr>
      <w:r w:rsidRPr="00DA2CF4">
        <w:rPr>
          <w:rFonts w:ascii="Times New Roman" w:hAnsi="Times New Roman" w:cs="Times New Roman"/>
        </w:rPr>
        <w:t xml:space="preserve">A contratação será realizada na modalidade empreitada por preço unitário, conforme o inciso XXVIII do art. 6º da Lei nº 14.133/2021, tendo em vista que os serviços serão remunerados de acordo com os quantitativos efetivamente executados e aferidos durante a execução contratual. Tal regime mostra-se adequado à natureza da </w:t>
      </w:r>
      <w:r w:rsidRPr="00DA2CF4">
        <w:rPr>
          <w:rFonts w:ascii="Times New Roman" w:hAnsi="Times New Roman" w:cs="Times New Roman"/>
        </w:rPr>
        <w:lastRenderedPageBreak/>
        <w:t>intervenção, permitindo maior precisão na medição dos serviços e melhor gestão de eventuais variações quantitativas inerentes às obras de reforma.</w:t>
      </w:r>
    </w:p>
    <w:p w14:paraId="21B9BFEC" w14:textId="3B2140FB" w:rsidR="00431648" w:rsidRDefault="00431648" w:rsidP="00DA2CF4">
      <w:pPr>
        <w:pStyle w:val="SemEspaamento"/>
        <w:spacing w:line="360" w:lineRule="auto"/>
        <w:jc w:val="both"/>
        <w:rPr>
          <w:rFonts w:ascii="Times New Roman" w:hAnsi="Times New Roman" w:cs="Times New Roman"/>
        </w:rPr>
      </w:pPr>
    </w:p>
    <w:p w14:paraId="21B9BFED"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b/>
          <w:bCs/>
        </w:rPr>
        <w:t>4.1. Requisitos Técnicos da Contratação</w:t>
      </w:r>
    </w:p>
    <w:p w14:paraId="21B9BFEE" w14:textId="77777777" w:rsidR="00431648" w:rsidRDefault="00431648">
      <w:pPr>
        <w:pStyle w:val="SemEspaamento"/>
        <w:spacing w:line="360" w:lineRule="auto"/>
        <w:jc w:val="both"/>
        <w:rPr>
          <w:rFonts w:ascii="Times New Roman" w:hAnsi="Times New Roman" w:cs="Times New Roman"/>
        </w:rPr>
      </w:pPr>
    </w:p>
    <w:p w14:paraId="21B9BFF0" w14:textId="7D840342" w:rsidR="00431648" w:rsidRDefault="00000000" w:rsidP="00DA2CF4">
      <w:pPr>
        <w:pStyle w:val="SemEspaamento"/>
        <w:numPr>
          <w:ilvl w:val="0"/>
          <w:numId w:val="6"/>
        </w:numPr>
        <w:spacing w:line="360" w:lineRule="auto"/>
        <w:jc w:val="both"/>
        <w:rPr>
          <w:rFonts w:ascii="Times New Roman" w:hAnsi="Times New Roman" w:cs="Times New Roman"/>
          <w:lang w:val="pt-BR"/>
        </w:rPr>
      </w:pPr>
      <w:r>
        <w:rPr>
          <w:rFonts w:ascii="Times New Roman" w:hAnsi="Times New Roman" w:cs="Times New Roman"/>
          <w:lang w:val="pt-BR"/>
        </w:rPr>
        <w:t>Os serviços a serem executados, e os materiais a serem aplicados e/ou substituídos, deverão abraçar as determinações dos projetos, dos memoriais descritivos e das especificações técnicas;</w:t>
      </w:r>
    </w:p>
    <w:p w14:paraId="21B9BFF2" w14:textId="5A4A9CBE" w:rsidR="00431648" w:rsidRDefault="00000000" w:rsidP="00DA2CF4">
      <w:pPr>
        <w:pStyle w:val="SemEspaamento"/>
        <w:numPr>
          <w:ilvl w:val="0"/>
          <w:numId w:val="6"/>
        </w:numPr>
        <w:spacing w:line="360" w:lineRule="auto"/>
        <w:jc w:val="both"/>
        <w:rPr>
          <w:rFonts w:ascii="Times New Roman" w:hAnsi="Times New Roman" w:cs="Times New Roman"/>
          <w:lang w:val="pt-BR"/>
        </w:rPr>
      </w:pPr>
      <w:r>
        <w:rPr>
          <w:rFonts w:ascii="Times New Roman" w:hAnsi="Times New Roman" w:cs="Times New Roman"/>
        </w:rPr>
        <w:t xml:space="preserve">A metodologia executiva a ser adotada, deverá estar em conformidade com as normas </w:t>
      </w:r>
      <w:r>
        <w:rPr>
          <w:rFonts w:ascii="Times New Roman" w:hAnsi="Times New Roman" w:cs="Times New Roman"/>
          <w:lang w:val="pt-BR"/>
        </w:rPr>
        <w:t>técnicas vigentes;</w:t>
      </w:r>
    </w:p>
    <w:p w14:paraId="21B9BFF3" w14:textId="3DB16B91" w:rsidR="00431648" w:rsidRDefault="00000000" w:rsidP="00DA2CF4">
      <w:pPr>
        <w:pStyle w:val="SemEspaamento"/>
        <w:numPr>
          <w:ilvl w:val="0"/>
          <w:numId w:val="6"/>
        </w:numPr>
        <w:spacing w:line="360" w:lineRule="auto"/>
        <w:jc w:val="both"/>
        <w:rPr>
          <w:rFonts w:ascii="Times New Roman" w:hAnsi="Times New Roman" w:cs="Times New Roman"/>
          <w:lang w:val="pt-BR"/>
        </w:rPr>
      </w:pPr>
      <w:r>
        <w:rPr>
          <w:rFonts w:ascii="Times New Roman" w:hAnsi="Times New Roman" w:cs="Times New Roman"/>
        </w:rPr>
        <w:t xml:space="preserve">A definição do orçamento e do prazo de execução da obra, estão delineados na planilha </w:t>
      </w:r>
      <w:r>
        <w:rPr>
          <w:rFonts w:ascii="Times New Roman" w:hAnsi="Times New Roman" w:cs="Times New Roman"/>
          <w:lang w:val="pt-BR"/>
        </w:rPr>
        <w:t>orçamentária e no cronograma físico-financeiro, visualizados no projeto;</w:t>
      </w:r>
    </w:p>
    <w:p w14:paraId="21B9BFF4" w14:textId="77777777" w:rsidR="00431648" w:rsidRDefault="00431648">
      <w:pPr>
        <w:pStyle w:val="SemEspaamento"/>
        <w:spacing w:line="360" w:lineRule="auto"/>
        <w:jc w:val="both"/>
        <w:rPr>
          <w:rFonts w:ascii="Times New Roman" w:hAnsi="Times New Roman" w:cs="Times New Roman"/>
          <w:lang w:val="pt-BR"/>
        </w:rPr>
      </w:pPr>
    </w:p>
    <w:p w14:paraId="21B9BFF5"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b/>
          <w:bCs/>
          <w:lang w:val="pt-BR"/>
        </w:rPr>
        <w:t>4.2. Requisitos de Sustentabilidade</w:t>
      </w:r>
    </w:p>
    <w:p w14:paraId="21B9BFF6" w14:textId="77777777" w:rsidR="00431648" w:rsidRDefault="00431648">
      <w:pPr>
        <w:pStyle w:val="SemEspaamento"/>
        <w:spacing w:line="360" w:lineRule="auto"/>
        <w:jc w:val="both"/>
        <w:rPr>
          <w:rFonts w:ascii="Times New Roman" w:hAnsi="Times New Roman" w:cs="Times New Roman"/>
          <w:lang w:val="pt-BR"/>
        </w:rPr>
      </w:pPr>
    </w:p>
    <w:p w14:paraId="21B9BFF7" w14:textId="637D6407" w:rsidR="00431648" w:rsidRDefault="00000000" w:rsidP="00DA2CF4">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 xml:space="preserve">A empresa contratada deverá utilizar </w:t>
      </w:r>
      <w:r>
        <w:rPr>
          <w:rFonts w:ascii="Times New Roman" w:hAnsi="Times New Roman" w:cs="Times New Roman"/>
        </w:rPr>
        <w:t xml:space="preserve">na execução da obra as boas práticas de sustentabilidade ambiental, respeitando-se, dentre outros, os critérios ambientais indicados </w:t>
      </w:r>
      <w:r>
        <w:rPr>
          <w:rFonts w:ascii="Times New Roman" w:hAnsi="Times New Roman" w:cs="Times New Roman"/>
          <w:lang w:val="pt-BR"/>
        </w:rPr>
        <w:t>abaixo:</w:t>
      </w:r>
    </w:p>
    <w:p w14:paraId="21B9BFF8" w14:textId="77777777" w:rsidR="00431648" w:rsidRDefault="00431648">
      <w:pPr>
        <w:pStyle w:val="SemEspaamento"/>
        <w:spacing w:line="360" w:lineRule="auto"/>
        <w:jc w:val="both"/>
        <w:rPr>
          <w:rFonts w:ascii="Times New Roman" w:hAnsi="Times New Roman" w:cs="Times New Roman"/>
          <w:lang w:val="pt-BR"/>
        </w:rPr>
      </w:pPr>
    </w:p>
    <w:p w14:paraId="21B9BFF9" w14:textId="4BE9CF65" w:rsidR="00431648" w:rsidRDefault="00000000" w:rsidP="00DA2CF4">
      <w:pPr>
        <w:pStyle w:val="SemEspaamento"/>
        <w:numPr>
          <w:ilvl w:val="0"/>
          <w:numId w:val="7"/>
        </w:numPr>
        <w:spacing w:line="360" w:lineRule="auto"/>
        <w:jc w:val="both"/>
        <w:rPr>
          <w:rFonts w:ascii="Times New Roman" w:hAnsi="Times New Roman" w:cs="Times New Roman"/>
          <w:lang w:val="pt-BR"/>
        </w:rPr>
      </w:pPr>
      <w:r>
        <w:rPr>
          <w:rFonts w:ascii="Times New Roman" w:hAnsi="Times New Roman" w:cs="Times New Roman"/>
        </w:rPr>
        <w:t xml:space="preserve">Uso produtos de limpeza e conservação de superfícies e objetos inanimados que </w:t>
      </w:r>
      <w:r>
        <w:rPr>
          <w:rFonts w:ascii="Times New Roman" w:hAnsi="Times New Roman" w:cs="Times New Roman"/>
          <w:lang w:val="pt-BR"/>
        </w:rPr>
        <w:t>obedeçam às classificações e especificações da ANVISA;</w:t>
      </w:r>
    </w:p>
    <w:p w14:paraId="21B9BFFB" w14:textId="43C15599" w:rsidR="00431648" w:rsidRDefault="00000000" w:rsidP="00DA2CF4">
      <w:pPr>
        <w:pStyle w:val="SemEspaamento"/>
        <w:numPr>
          <w:ilvl w:val="0"/>
          <w:numId w:val="7"/>
        </w:numPr>
        <w:spacing w:line="360" w:lineRule="auto"/>
        <w:jc w:val="both"/>
        <w:rPr>
          <w:rFonts w:ascii="Times New Roman" w:hAnsi="Times New Roman" w:cs="Times New Roman"/>
          <w:lang w:val="pt-BR"/>
        </w:rPr>
      </w:pPr>
      <w:r>
        <w:rPr>
          <w:rFonts w:ascii="Times New Roman" w:hAnsi="Times New Roman" w:cs="Times New Roman"/>
        </w:rPr>
        <w:t xml:space="preserve">Implementação de um programa de treinamento de seus empregados visando o uso </w:t>
      </w:r>
      <w:r>
        <w:rPr>
          <w:rFonts w:ascii="Times New Roman" w:hAnsi="Times New Roman" w:cs="Times New Roman"/>
          <w:lang w:val="pt-BR"/>
        </w:rPr>
        <w:t>racional de consumo de energia elétrica e água, bem como redução de resíduos sólidos;</w:t>
      </w:r>
    </w:p>
    <w:p w14:paraId="21B9BFFD" w14:textId="1F80D0ED" w:rsidR="00431648" w:rsidRDefault="00000000" w:rsidP="00DA2CF4">
      <w:pPr>
        <w:pStyle w:val="SemEspaamento"/>
        <w:numPr>
          <w:ilvl w:val="0"/>
          <w:numId w:val="7"/>
        </w:numPr>
        <w:spacing w:line="360" w:lineRule="auto"/>
        <w:jc w:val="both"/>
        <w:rPr>
          <w:rFonts w:ascii="Times New Roman" w:hAnsi="Times New Roman" w:cs="Times New Roman"/>
          <w:lang w:val="pt-BR"/>
        </w:rPr>
      </w:pPr>
      <w:r>
        <w:rPr>
          <w:rFonts w:ascii="Times New Roman" w:hAnsi="Times New Roman" w:cs="Times New Roman"/>
          <w:lang w:val="pt-BR"/>
        </w:rPr>
        <w:t>Sempre que possível, fazer uso de energia renovável;</w:t>
      </w:r>
    </w:p>
    <w:p w14:paraId="21B9BFFF" w14:textId="2D3E7924" w:rsidR="00431648" w:rsidRDefault="00000000" w:rsidP="00DA2CF4">
      <w:pPr>
        <w:pStyle w:val="SemEspaamento"/>
        <w:numPr>
          <w:ilvl w:val="0"/>
          <w:numId w:val="7"/>
        </w:numPr>
        <w:spacing w:line="360" w:lineRule="auto"/>
        <w:jc w:val="both"/>
        <w:rPr>
          <w:rFonts w:ascii="Times New Roman" w:hAnsi="Times New Roman" w:cs="Times New Roman"/>
          <w:lang w:val="pt-BR"/>
        </w:rPr>
      </w:pPr>
      <w:r>
        <w:rPr>
          <w:rFonts w:ascii="Times New Roman" w:hAnsi="Times New Roman" w:cs="Times New Roman"/>
        </w:rPr>
        <w:t xml:space="preserve">Classificação e destinação adequada dos resíduos recicláveis produzidos durante a execução dos serviços. Especificamente para papéis e latas de alumínio deve-se contatar </w:t>
      </w:r>
      <w:r>
        <w:rPr>
          <w:rFonts w:ascii="Times New Roman" w:hAnsi="Times New Roman" w:cs="Times New Roman"/>
          <w:lang w:val="pt-BR"/>
        </w:rPr>
        <w:t>as Associações e/ou Cooperativas locais de catadores de materiais recicláveis.</w:t>
      </w:r>
    </w:p>
    <w:p w14:paraId="21B9C001" w14:textId="0E83FCCB" w:rsidR="00431648" w:rsidRDefault="00000000" w:rsidP="00DA2CF4">
      <w:pPr>
        <w:pStyle w:val="SemEspaamento"/>
        <w:numPr>
          <w:ilvl w:val="0"/>
          <w:numId w:val="7"/>
        </w:numPr>
        <w:spacing w:line="360" w:lineRule="auto"/>
        <w:jc w:val="both"/>
        <w:rPr>
          <w:rFonts w:ascii="Times New Roman" w:hAnsi="Times New Roman" w:cs="Times New Roman"/>
          <w:lang w:val="pt-BR"/>
        </w:rPr>
      </w:pPr>
      <w:r>
        <w:rPr>
          <w:rFonts w:ascii="Times New Roman" w:hAnsi="Times New Roman" w:cs="Times New Roman"/>
          <w:lang w:val="pt-BR"/>
        </w:rPr>
        <w:t>Adoção e promoção de medidas de proteção para a redução ou neutralização dos riscos ocupacionais aos seus empregados, além de fornecimento de equipamentos de proteção individuais – EPIs necessários, tais como óculos, luvas, aventais, máscaras, calçados apropriados, protetores auriculares etc., fiscalizando e zelando para que os mesmos cumpram as normas e procedimentos destinados à preservação de sua integridade física;</w:t>
      </w:r>
    </w:p>
    <w:p w14:paraId="21B9C003" w14:textId="3BEC7109" w:rsidR="00431648" w:rsidRDefault="00000000" w:rsidP="00DA2CF4">
      <w:pPr>
        <w:pStyle w:val="SemEspaamento"/>
        <w:numPr>
          <w:ilvl w:val="0"/>
          <w:numId w:val="7"/>
        </w:numPr>
        <w:spacing w:line="360" w:lineRule="auto"/>
        <w:jc w:val="both"/>
        <w:rPr>
          <w:rFonts w:ascii="Times New Roman" w:hAnsi="Times New Roman" w:cs="Times New Roman"/>
          <w:lang w:val="pt-BR"/>
        </w:rPr>
      </w:pPr>
      <w:r>
        <w:rPr>
          <w:rFonts w:ascii="Times New Roman" w:hAnsi="Times New Roman" w:cs="Times New Roman"/>
          <w:lang w:val="pt-BR"/>
        </w:rPr>
        <w:t>Atendimento aos padrões indicados pela Resolução CONAMA nº 20/1994 quando da aquisição e utilização de equipamentos de limpeza que gerem ruídos em seu funcionamento;</w:t>
      </w:r>
    </w:p>
    <w:p w14:paraId="21B9C006" w14:textId="17C928B0" w:rsidR="00431648" w:rsidRDefault="00000000" w:rsidP="00DA2CF4">
      <w:pPr>
        <w:pStyle w:val="SemEspaamento"/>
        <w:numPr>
          <w:ilvl w:val="0"/>
          <w:numId w:val="7"/>
        </w:numPr>
        <w:spacing w:line="360" w:lineRule="auto"/>
        <w:jc w:val="both"/>
        <w:rPr>
          <w:rFonts w:ascii="Times New Roman" w:hAnsi="Times New Roman" w:cs="Times New Roman"/>
          <w:lang w:val="pt-BR"/>
        </w:rPr>
      </w:pPr>
      <w:r>
        <w:rPr>
          <w:rFonts w:ascii="Times New Roman" w:hAnsi="Times New Roman" w:cs="Times New Roman"/>
          <w:lang w:val="pt-BR"/>
        </w:rPr>
        <w:t>Consideração nas pesquisas de preços para aquisições e serviços contemplados no escopo da contratação, empresas que tenham certificação ambiental.</w:t>
      </w:r>
    </w:p>
    <w:p w14:paraId="21B9C007" w14:textId="77777777" w:rsidR="00431648" w:rsidRDefault="00431648">
      <w:pPr>
        <w:pStyle w:val="SemEspaamento"/>
        <w:spacing w:line="360" w:lineRule="auto"/>
        <w:jc w:val="both"/>
        <w:rPr>
          <w:rFonts w:ascii="Times New Roman" w:hAnsi="Times New Roman" w:cs="Times New Roman"/>
          <w:lang w:val="pt-BR"/>
        </w:rPr>
      </w:pPr>
    </w:p>
    <w:p w14:paraId="21B9C008" w14:textId="77777777" w:rsidR="00431648" w:rsidRDefault="00000000">
      <w:pPr>
        <w:pStyle w:val="SemEspaamento"/>
        <w:spacing w:line="360" w:lineRule="auto"/>
        <w:jc w:val="both"/>
        <w:rPr>
          <w:rFonts w:ascii="Times New Roman" w:hAnsi="Times New Roman" w:cs="Times New Roman"/>
          <w:b/>
          <w:bCs/>
          <w:lang w:val="pt-BR"/>
        </w:rPr>
      </w:pPr>
      <w:r>
        <w:rPr>
          <w:rFonts w:ascii="Times New Roman" w:hAnsi="Times New Roman" w:cs="Times New Roman"/>
          <w:b/>
          <w:bCs/>
          <w:lang w:val="pt-BR"/>
        </w:rPr>
        <w:t>4.3. Requisitos Normativos que Disciplinam os Serviços a Serem Contratados</w:t>
      </w:r>
    </w:p>
    <w:p w14:paraId="21B9C009" w14:textId="77777777" w:rsidR="00431648" w:rsidRDefault="00431648">
      <w:pPr>
        <w:pStyle w:val="SemEspaamento"/>
        <w:spacing w:line="360" w:lineRule="auto"/>
        <w:jc w:val="both"/>
        <w:rPr>
          <w:rFonts w:ascii="Times New Roman" w:hAnsi="Times New Roman" w:cs="Times New Roman"/>
          <w:lang w:val="pt-BR"/>
        </w:rPr>
      </w:pPr>
    </w:p>
    <w:p w14:paraId="21B9C00A" w14:textId="1C795988" w:rsidR="00431648" w:rsidRDefault="00431648" w:rsidP="00DA2CF4">
      <w:pPr>
        <w:pStyle w:val="SemEspaamento"/>
        <w:numPr>
          <w:ilvl w:val="0"/>
          <w:numId w:val="8"/>
        </w:numPr>
        <w:spacing w:line="360" w:lineRule="auto"/>
        <w:jc w:val="both"/>
        <w:rPr>
          <w:rFonts w:ascii="Times New Roman" w:hAnsi="Times New Roman" w:cs="Times New Roman"/>
          <w:lang w:val="pt-BR"/>
        </w:rPr>
      </w:pPr>
      <w:hyperlink r:id="rId11">
        <w:r>
          <w:rPr>
            <w:rStyle w:val="LinkdaInternet"/>
            <w:rFonts w:ascii="Times New Roman" w:hAnsi="Times New Roman" w:cs="Times New Roman"/>
            <w:lang w:val="pt-BR"/>
          </w:rPr>
          <w:t>Lei nº 14.133, de 1º de abril de 2021</w:t>
        </w:r>
      </w:hyperlink>
      <w:r>
        <w:rPr>
          <w:rFonts w:ascii="Times New Roman" w:hAnsi="Times New Roman" w:cs="Times New Roman"/>
          <w:lang w:val="pt-BR"/>
        </w:rPr>
        <w:t>, Lei de Licitações e Contratos Administrativos;</w:t>
      </w:r>
    </w:p>
    <w:p w14:paraId="21B9C00C" w14:textId="3C3A45D4" w:rsidR="00431648" w:rsidRDefault="00431648" w:rsidP="00DA2CF4">
      <w:pPr>
        <w:pStyle w:val="SemEspaamento"/>
        <w:numPr>
          <w:ilvl w:val="0"/>
          <w:numId w:val="8"/>
        </w:numPr>
        <w:spacing w:line="360" w:lineRule="auto"/>
        <w:jc w:val="both"/>
        <w:rPr>
          <w:rFonts w:ascii="Times New Roman" w:hAnsi="Times New Roman" w:cs="Times New Roman"/>
          <w:lang w:val="pt-BR"/>
        </w:rPr>
      </w:pPr>
      <w:hyperlink r:id="rId12">
        <w:r>
          <w:rPr>
            <w:rStyle w:val="LinkdaInternet"/>
            <w:rFonts w:ascii="Times New Roman" w:hAnsi="Times New Roman" w:cs="Times New Roman"/>
          </w:rPr>
          <w:t>Decreto Municipal n° 11.685/2023</w:t>
        </w:r>
      </w:hyperlink>
      <w:r>
        <w:rPr>
          <w:rFonts w:ascii="Times New Roman" w:hAnsi="Times New Roman" w:cs="Times New Roman"/>
        </w:rPr>
        <w:t xml:space="preserve"> – Regulamenta a Lei nº 14.133/2021, no âmbito da </w:t>
      </w:r>
      <w:r>
        <w:rPr>
          <w:rFonts w:ascii="Times New Roman" w:hAnsi="Times New Roman" w:cs="Times New Roman"/>
          <w:lang w:val="pt-BR"/>
        </w:rPr>
        <w:t>Administração Pública Direta do Município de Rondonópolis-MT, suas autarquias e fundações;</w:t>
      </w:r>
    </w:p>
    <w:p w14:paraId="21B9C00E" w14:textId="6382767D" w:rsidR="00431648" w:rsidRDefault="00000000" w:rsidP="00DA2CF4">
      <w:pPr>
        <w:pStyle w:val="SemEspaamento"/>
        <w:numPr>
          <w:ilvl w:val="0"/>
          <w:numId w:val="8"/>
        </w:numPr>
        <w:spacing w:line="360" w:lineRule="auto"/>
        <w:jc w:val="both"/>
        <w:rPr>
          <w:rFonts w:ascii="Times New Roman" w:hAnsi="Times New Roman" w:cs="Times New Roman"/>
          <w:lang w:val="pt-BR"/>
        </w:rPr>
      </w:pPr>
      <w:r>
        <w:rPr>
          <w:rFonts w:ascii="Times New Roman" w:hAnsi="Times New Roman" w:cs="Times New Roman"/>
        </w:rPr>
        <w:t xml:space="preserve">Normas da ABNT, Especificações de Serviço e Normas do DNIT, e das legislações pertinentes para execução de todos os serviços aplicáveis na execução da obra, inclusive </w:t>
      </w:r>
      <w:r>
        <w:rPr>
          <w:rFonts w:ascii="Times New Roman" w:hAnsi="Times New Roman" w:cs="Times New Roman"/>
          <w:lang w:val="pt-BR"/>
        </w:rPr>
        <w:t>no que tange a qualidade dos materiais.</w:t>
      </w:r>
    </w:p>
    <w:p w14:paraId="21B9C00F"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11" w14:textId="77777777">
        <w:trPr>
          <w:trHeight w:val="367"/>
        </w:trPr>
        <w:tc>
          <w:tcPr>
            <w:tcW w:w="10366" w:type="dxa"/>
            <w:shd w:val="clear" w:color="auto" w:fill="D0CECE" w:themeFill="background2" w:themeFillShade="E6"/>
            <w:vAlign w:val="center"/>
          </w:tcPr>
          <w:p w14:paraId="21B9C010" w14:textId="77777777" w:rsidR="00431648" w:rsidRDefault="00000000">
            <w:pPr>
              <w:pStyle w:val="Ttulo"/>
              <w:spacing w:line="360" w:lineRule="auto"/>
              <w:rPr>
                <w:rFonts w:ascii="Times New Roman" w:hAnsi="Times New Roman" w:cs="Times New Roman"/>
              </w:rPr>
            </w:pPr>
            <w:bookmarkStart w:id="5" w:name="_Toc194397101"/>
            <w:r>
              <w:rPr>
                <w:rFonts w:ascii="Times New Roman" w:hAnsi="Times New Roman" w:cs="Times New Roman"/>
              </w:rPr>
              <w:t>5. ESTIMATIVA DAS QUANTIDADES (art. 18º, §1º, INCISO “III”)</w:t>
            </w:r>
            <w:bookmarkEnd w:id="5"/>
          </w:p>
        </w:tc>
      </w:tr>
    </w:tbl>
    <w:p w14:paraId="21B9C012" w14:textId="77777777" w:rsidR="00431648" w:rsidRDefault="00431648">
      <w:pPr>
        <w:pStyle w:val="SemEspaamento"/>
        <w:spacing w:line="360" w:lineRule="auto"/>
        <w:jc w:val="both"/>
        <w:rPr>
          <w:rFonts w:ascii="Times New Roman" w:hAnsi="Times New Roman" w:cs="Times New Roman"/>
          <w:lang w:val="pt-BR"/>
        </w:rPr>
      </w:pPr>
    </w:p>
    <w:p w14:paraId="21B9C013"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estimativas das quantidades para a contratação, acompanhadas das memórias de cálculo e dos documentos que lhes dão suporte, que considerem interdependências com outras contratações, de modo a possibilitar economia de escala. (Inciso IV do § 1° do art. 18 da Lei 14.133/2021).</w:t>
      </w:r>
    </w:p>
    <w:p w14:paraId="21B9C014" w14:textId="77777777" w:rsidR="00431648" w:rsidRDefault="00000000">
      <w:pPr>
        <w:spacing w:line="360" w:lineRule="auto"/>
        <w:ind w:right="-1"/>
        <w:jc w:val="both"/>
        <w:rPr>
          <w:rFonts w:ascii="Times New Roman" w:hAnsi="Times New Roman" w:cs="Times New Roman"/>
          <w:szCs w:val="18"/>
        </w:rPr>
      </w:pPr>
      <w:r>
        <w:rPr>
          <w:rFonts w:ascii="Times New Roman" w:hAnsi="Times New Roman" w:cs="Times New Roman"/>
          <w:b/>
          <w:bCs/>
          <w:szCs w:val="18"/>
        </w:rPr>
        <w:tab/>
      </w:r>
    </w:p>
    <w:p w14:paraId="75EA152C" w14:textId="77777777" w:rsidR="009D5AF6" w:rsidRPr="009D5AF6"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A estimativa de valor da contratação será consolidada por meio de planilha orçamentária detalhada, a ser elaborada com base nos projetos, levantamentos técnicos e memoriais descritivos da intervenção. A planilha contemplará os custos diretos e indiretos, bem como a aplicação do BDI (Bonificação e Despesas Indiretas), observando a complexidade dos serviços e as exigências legais aplicáveis.</w:t>
      </w:r>
    </w:p>
    <w:p w14:paraId="303B3032" w14:textId="77777777" w:rsidR="009D5AF6" w:rsidRPr="009D5AF6"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As quantidades dos serviços correlacionados ao objeto da contratação serão obtidas a partir dos levantamentos técnicos realizados na edificação e dos projetos elaborados para a intervenção, assegurando maior precisão na composição dos custos e no planejamento da execução.</w:t>
      </w:r>
    </w:p>
    <w:p w14:paraId="69B4C7B3" w14:textId="2C23360F" w:rsidR="009D5AF6" w:rsidRPr="009D5AF6"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A intervenção compreenderá os serviços necessários à recuperação e adequação do sistema de cobertura da edificação, incluindo, conforme definido em projeto, a remoção e substituição de elementos deteriorados, substituição de telhas</w:t>
      </w:r>
      <w:r>
        <w:rPr>
          <w:rFonts w:ascii="Times New Roman" w:hAnsi="Times New Roman" w:cs="Times New Roman"/>
        </w:rPr>
        <w:t xml:space="preserve">, </w:t>
      </w:r>
      <w:r w:rsidRPr="009D5AF6">
        <w:rPr>
          <w:rFonts w:ascii="Times New Roman" w:hAnsi="Times New Roman" w:cs="Times New Roman"/>
        </w:rPr>
        <w:t>instalação ou adequação de calhas, rufos e condutores pluviais, impermeabilizações, arremates e demais serviços complementares indispensáveis ao adequado desempenho da cobertura.</w:t>
      </w:r>
    </w:p>
    <w:p w14:paraId="575E208D" w14:textId="77777777" w:rsidR="009D5AF6"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Os quantitativos e especificações dos serviços serão detalhados nos projetos executivos, memoriais descritivos e planilhas orçamentárias que integrarão o processo licitatório.</w:t>
      </w:r>
    </w:p>
    <w:p w14:paraId="194CB76B" w14:textId="77777777" w:rsidR="009D5AF6" w:rsidRDefault="009D5AF6" w:rsidP="009D5AF6">
      <w:pPr>
        <w:pStyle w:val="SemEspaamento"/>
        <w:spacing w:line="360" w:lineRule="auto"/>
        <w:ind w:firstLine="720"/>
        <w:jc w:val="both"/>
        <w:rPr>
          <w:rFonts w:ascii="Times New Roman" w:hAnsi="Times New Roman" w:cs="Times New Roman"/>
        </w:rPr>
      </w:pPr>
    </w:p>
    <w:p w14:paraId="4227FEBC" w14:textId="77777777" w:rsidR="009D5AF6" w:rsidRDefault="009D5AF6" w:rsidP="009D5AF6">
      <w:pPr>
        <w:pStyle w:val="SemEspaamento"/>
        <w:spacing w:line="360" w:lineRule="auto"/>
        <w:ind w:firstLine="720"/>
        <w:jc w:val="both"/>
        <w:rPr>
          <w:rFonts w:ascii="Times New Roman" w:hAnsi="Times New Roman" w:cs="Times New Roman"/>
        </w:rPr>
      </w:pPr>
    </w:p>
    <w:p w14:paraId="0C562F08" w14:textId="77777777" w:rsidR="009D5AF6" w:rsidRPr="009D5AF6" w:rsidRDefault="009D5AF6" w:rsidP="009D5AF6">
      <w:pPr>
        <w:pStyle w:val="SemEspaamento"/>
        <w:spacing w:line="360" w:lineRule="auto"/>
        <w:ind w:firstLine="720"/>
        <w:jc w:val="both"/>
        <w:rPr>
          <w:rFonts w:ascii="Times New Roman" w:hAnsi="Times New Roman" w:cs="Times New Roman"/>
        </w:rPr>
      </w:pPr>
    </w:p>
    <w:p w14:paraId="21B9C05A" w14:textId="77777777" w:rsidR="00431648" w:rsidRPr="009D5AF6" w:rsidRDefault="00431648">
      <w:pPr>
        <w:pStyle w:val="SemEspaamento"/>
        <w:spacing w:line="360" w:lineRule="auto"/>
        <w:jc w:val="both"/>
        <w:rPr>
          <w:rFonts w:ascii="Times New Roman" w:hAnsi="Times New Roman" w:cs="Times New Roman"/>
        </w:rPr>
      </w:pPr>
    </w:p>
    <w:tbl>
      <w:tblPr>
        <w:tblStyle w:val="TabeladeGradeClara1"/>
        <w:tblW w:w="10366" w:type="dxa"/>
        <w:tblLayout w:type="fixed"/>
        <w:tblLook w:val="04A0" w:firstRow="1" w:lastRow="0" w:firstColumn="1" w:lastColumn="0" w:noHBand="0" w:noVBand="1"/>
      </w:tblPr>
      <w:tblGrid>
        <w:gridCol w:w="10366"/>
      </w:tblGrid>
      <w:tr w:rsidR="00431648" w14:paraId="21B9C05C" w14:textId="77777777">
        <w:trPr>
          <w:trHeight w:val="367"/>
        </w:trPr>
        <w:tc>
          <w:tcPr>
            <w:tcW w:w="10366" w:type="dxa"/>
            <w:shd w:val="clear" w:color="auto" w:fill="D0CECE" w:themeFill="background2" w:themeFillShade="E6"/>
            <w:vAlign w:val="center"/>
          </w:tcPr>
          <w:p w14:paraId="21B9C05B" w14:textId="77777777" w:rsidR="00431648" w:rsidRDefault="00000000">
            <w:pPr>
              <w:pStyle w:val="Ttulo"/>
              <w:spacing w:line="360" w:lineRule="auto"/>
              <w:jc w:val="both"/>
              <w:rPr>
                <w:rFonts w:ascii="Times New Roman" w:hAnsi="Times New Roman" w:cs="Times New Roman"/>
              </w:rPr>
            </w:pPr>
            <w:bookmarkStart w:id="6" w:name="_Toc194397102"/>
            <w:r>
              <w:rPr>
                <w:rFonts w:ascii="Times New Roman" w:hAnsi="Times New Roman" w:cs="Times New Roman"/>
              </w:rPr>
              <w:lastRenderedPageBreak/>
              <w:t>6. LEVANTAMENTO DE MERCADO E JUSTIFICATIVA DA ESCOLHA DO TIPO DE SOLUÇÃO A CONTRATAR (art. 18º, §1º, INCISO “V”)</w:t>
            </w:r>
            <w:bookmarkEnd w:id="6"/>
          </w:p>
        </w:tc>
      </w:tr>
    </w:tbl>
    <w:p w14:paraId="21B9C05D" w14:textId="77777777" w:rsidR="00431648" w:rsidRDefault="00431648">
      <w:pPr>
        <w:pStyle w:val="SemEspaamento"/>
        <w:spacing w:line="360" w:lineRule="auto"/>
        <w:jc w:val="both"/>
        <w:rPr>
          <w:rFonts w:ascii="Times New Roman" w:hAnsi="Times New Roman" w:cs="Times New Roman"/>
          <w:lang w:val="pt-BR"/>
        </w:rPr>
      </w:pPr>
    </w:p>
    <w:p w14:paraId="21B9C05E"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levantamento de mercado, que consiste na análise das alternativas possíveis, e justificativa técnica e econômica da escolha do tipo de solução a contratar; (inciso V do § 1° do art. 18 da Lei 14.133/21 e Seção VI do Decreto Municipal 11.685/2023).</w:t>
      </w:r>
    </w:p>
    <w:p w14:paraId="21B9C05F" w14:textId="77777777" w:rsidR="00431648" w:rsidRDefault="00431648">
      <w:pPr>
        <w:pStyle w:val="SemEspaamento"/>
        <w:spacing w:line="360" w:lineRule="auto"/>
        <w:jc w:val="both"/>
        <w:rPr>
          <w:rFonts w:ascii="Times New Roman" w:hAnsi="Times New Roman" w:cs="Times New Roman"/>
          <w:lang w:val="pt-BR"/>
        </w:rPr>
      </w:pPr>
    </w:p>
    <w:p w14:paraId="57A28794" w14:textId="77777777" w:rsidR="009D5AF6" w:rsidRPr="009D5AF6" w:rsidRDefault="00000000" w:rsidP="009D5AF6">
      <w:pPr>
        <w:pStyle w:val="SemEspaamento"/>
        <w:spacing w:line="360" w:lineRule="auto"/>
        <w:jc w:val="both"/>
        <w:rPr>
          <w:rFonts w:ascii="Times New Roman" w:hAnsi="Times New Roman" w:cs="Times New Roman"/>
          <w:lang w:val="pt-BR"/>
        </w:rPr>
      </w:pPr>
      <w:r>
        <w:rPr>
          <w:rFonts w:ascii="Times New Roman" w:hAnsi="Times New Roman" w:cs="Times New Roman"/>
          <w:lang w:val="pt-BR"/>
        </w:rPr>
        <w:tab/>
      </w:r>
      <w:r w:rsidR="009D5AF6" w:rsidRPr="009D5AF6">
        <w:rPr>
          <w:rFonts w:ascii="Times New Roman" w:hAnsi="Times New Roman" w:cs="Times New Roman"/>
          <w:lang w:val="pt-BR"/>
        </w:rPr>
        <w:t xml:space="preserve">Considerando o objetivo da presente contratação, que é a execução da Reforma da Cobertura do Hospital Municipal </w:t>
      </w:r>
      <w:proofErr w:type="spellStart"/>
      <w:r w:rsidR="009D5AF6" w:rsidRPr="009D5AF6">
        <w:rPr>
          <w:rFonts w:ascii="Times New Roman" w:hAnsi="Times New Roman" w:cs="Times New Roman"/>
          <w:lang w:val="pt-BR"/>
        </w:rPr>
        <w:t>Cristyan</w:t>
      </w:r>
      <w:proofErr w:type="spellEnd"/>
      <w:r w:rsidR="009D5AF6" w:rsidRPr="009D5AF6">
        <w:rPr>
          <w:rFonts w:ascii="Times New Roman" w:hAnsi="Times New Roman" w:cs="Times New Roman"/>
          <w:lang w:val="pt-BR"/>
        </w:rPr>
        <w:t xml:space="preserve"> Mary da Silveira e Lima, foi realizado levantamento técnico das condições atuais da edificação, identificando a necessidade de intervenções destinadas à recuperação do sistema de cobertura, de modo a garantir a adequada proteção da estrutura física, dos equipamentos e dos ambientes utilizados para a prestação dos serviços de saúde.</w:t>
      </w:r>
    </w:p>
    <w:p w14:paraId="113824D1" w14:textId="77777777" w:rsidR="009D5AF6" w:rsidRPr="009D5AF6" w:rsidRDefault="009D5AF6" w:rsidP="009D5AF6">
      <w:pPr>
        <w:pStyle w:val="SemEspaamento"/>
        <w:spacing w:line="360" w:lineRule="auto"/>
        <w:ind w:firstLine="720"/>
        <w:jc w:val="both"/>
        <w:rPr>
          <w:rFonts w:ascii="Times New Roman" w:hAnsi="Times New Roman" w:cs="Times New Roman"/>
          <w:lang w:val="pt-BR"/>
        </w:rPr>
      </w:pPr>
      <w:r w:rsidRPr="009D5AF6">
        <w:rPr>
          <w:rFonts w:ascii="Times New Roman" w:hAnsi="Times New Roman" w:cs="Times New Roman"/>
          <w:lang w:val="pt-BR"/>
        </w:rPr>
        <w:t>A necessidade da intervenção decorre da constatação de patologias construtivas associadas ao desgaste natural dos elementos que compõem a cobertura, as quais podem comprometer a estanqueidade da edificação, ocasionando infiltrações, danos aos ambientes internos e prejuízos à continuidade das atividades desenvolvidas na unidade hospitalar.</w:t>
      </w:r>
    </w:p>
    <w:p w14:paraId="31E9168E" w14:textId="77777777" w:rsidR="009D5AF6" w:rsidRPr="009D5AF6" w:rsidRDefault="009D5AF6" w:rsidP="009D5AF6">
      <w:pPr>
        <w:pStyle w:val="SemEspaamento"/>
        <w:spacing w:line="360" w:lineRule="auto"/>
        <w:ind w:firstLine="720"/>
        <w:jc w:val="both"/>
        <w:rPr>
          <w:rFonts w:ascii="Times New Roman" w:hAnsi="Times New Roman" w:cs="Times New Roman"/>
          <w:lang w:val="pt-BR"/>
        </w:rPr>
      </w:pPr>
      <w:r w:rsidRPr="009D5AF6">
        <w:rPr>
          <w:rFonts w:ascii="Times New Roman" w:hAnsi="Times New Roman" w:cs="Times New Roman"/>
          <w:lang w:val="pt-BR"/>
        </w:rPr>
        <w:t>Dessa forma, a execução da reforma mostra-se necessária para assegurar condições adequadas de segurança, funcionalidade, durabilidade e conservação da infraestrutura pública, contribuindo para a manutenção da qualidade dos serviços prestados à população e para a preservação do patrimônio público municipal.</w:t>
      </w:r>
    </w:p>
    <w:p w14:paraId="21B9C061" w14:textId="56131B01" w:rsidR="00431648" w:rsidRDefault="00000000" w:rsidP="009D5AF6">
      <w:pPr>
        <w:pStyle w:val="SemEspaamento"/>
        <w:spacing w:line="360" w:lineRule="auto"/>
        <w:ind w:firstLine="720"/>
        <w:jc w:val="both"/>
        <w:rPr>
          <w:rFonts w:ascii="Times New Roman" w:hAnsi="Times New Roman" w:cs="Times New Roman"/>
        </w:rPr>
      </w:pPr>
      <w:r>
        <w:rPr>
          <w:rFonts w:ascii="Times New Roman" w:hAnsi="Times New Roman" w:cs="Times New Roman"/>
        </w:rPr>
        <w:t xml:space="preserve">A escolha pela </w:t>
      </w:r>
      <w:r>
        <w:rPr>
          <w:rFonts w:ascii="Times New Roman" w:hAnsi="Times New Roman" w:cs="Times New Roman"/>
          <w:b/>
          <w:bCs/>
        </w:rPr>
        <w:t xml:space="preserve">construção </w:t>
      </w:r>
      <w:r>
        <w:rPr>
          <w:rFonts w:ascii="Times New Roman" w:hAnsi="Times New Roman" w:cs="Times New Roman"/>
        </w:rPr>
        <w:t>se mostra tecnicamente viável e alinhada às diretrizes do Ministério da Saúde e aos padrões de atendimento regional, oferecendo maior capacidade de resposta às necessidades da população.</w:t>
      </w:r>
    </w:p>
    <w:p w14:paraId="21B9C062"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ab/>
        <w:t>Levando-se em conta as características do objeto a ser contratado, apresenta-se como alternativas possíveis para o regime de execução:</w:t>
      </w:r>
    </w:p>
    <w:p w14:paraId="21B9C063" w14:textId="77777777" w:rsidR="00431648" w:rsidRDefault="00431648">
      <w:pPr>
        <w:pStyle w:val="SemEspaamento"/>
        <w:spacing w:line="360" w:lineRule="auto"/>
        <w:jc w:val="both"/>
        <w:rPr>
          <w:rFonts w:ascii="Times New Roman" w:hAnsi="Times New Roman" w:cs="Times New Roman"/>
          <w:lang w:val="pt-BR"/>
        </w:rPr>
      </w:pPr>
    </w:p>
    <w:p w14:paraId="21B9C064"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1) </w:t>
      </w:r>
      <w:r>
        <w:rPr>
          <w:rFonts w:ascii="Times New Roman" w:hAnsi="Times New Roman" w:cs="Times New Roman"/>
          <w:b/>
          <w:bCs/>
          <w:lang w:val="pt-BR"/>
        </w:rPr>
        <w:t>Empreitada por Preço Global</w:t>
      </w:r>
      <w:r>
        <w:rPr>
          <w:rFonts w:ascii="Times New Roman" w:hAnsi="Times New Roman" w:cs="Times New Roman"/>
          <w:lang w:val="pt-BR"/>
        </w:rPr>
        <w:t xml:space="preserve"> (</w:t>
      </w:r>
      <w:r>
        <w:rPr>
          <w:rFonts w:ascii="Times New Roman" w:hAnsi="Times New Roman" w:cs="Times New Roman"/>
        </w:rPr>
        <w:t xml:space="preserve">contratação da execução do serviço por preço certo e total, quando for possível definir previamente no projeto básico, com boa margem de precisão, as </w:t>
      </w:r>
      <w:r>
        <w:rPr>
          <w:rFonts w:ascii="Times New Roman" w:hAnsi="Times New Roman" w:cs="Times New Roman"/>
          <w:lang w:val="pt-BR"/>
        </w:rPr>
        <w:t>quantidades dos serviços a serem posteriormente executados na fase contratual);</w:t>
      </w:r>
    </w:p>
    <w:p w14:paraId="21B9C065" w14:textId="77777777" w:rsidR="00431648" w:rsidRDefault="00431648">
      <w:pPr>
        <w:pStyle w:val="SemEspaamento"/>
        <w:spacing w:line="360" w:lineRule="auto"/>
        <w:jc w:val="both"/>
        <w:rPr>
          <w:rFonts w:ascii="Times New Roman" w:hAnsi="Times New Roman" w:cs="Times New Roman"/>
          <w:lang w:val="pt-BR"/>
        </w:rPr>
      </w:pPr>
    </w:p>
    <w:p w14:paraId="21B9C066"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t xml:space="preserve">2) </w:t>
      </w:r>
      <w:r>
        <w:rPr>
          <w:rFonts w:ascii="Times New Roman" w:hAnsi="Times New Roman" w:cs="Times New Roman"/>
          <w:b/>
          <w:bCs/>
          <w:lang w:val="pt-BR"/>
        </w:rPr>
        <w:t>Empreitada por Preço Unitário</w:t>
      </w:r>
      <w:r>
        <w:rPr>
          <w:rFonts w:ascii="Times New Roman" w:hAnsi="Times New Roman" w:cs="Times New Roman"/>
          <w:lang w:val="pt-BR"/>
        </w:rPr>
        <w:t xml:space="preserve"> (</w:t>
      </w:r>
      <w:r>
        <w:rPr>
          <w:rFonts w:ascii="Times New Roman" w:hAnsi="Times New Roman" w:cs="Times New Roman"/>
        </w:rPr>
        <w:t xml:space="preserve">contratação da execução do serviço por preço certo de unidades determinadas, nos casos em que os objetos, por sua natureza, possuam imprecisão </w:t>
      </w:r>
      <w:r>
        <w:rPr>
          <w:rFonts w:ascii="Times New Roman" w:hAnsi="Times New Roman" w:cs="Times New Roman"/>
          <w:lang w:val="pt-BR"/>
        </w:rPr>
        <w:t>inerente de quantitativos em seus itens orçamentários).</w:t>
      </w:r>
    </w:p>
    <w:p w14:paraId="73E14F95" w14:textId="77777777" w:rsidR="009D5AF6" w:rsidRDefault="009D5AF6">
      <w:pPr>
        <w:pStyle w:val="SemEspaamento"/>
        <w:spacing w:line="360" w:lineRule="auto"/>
        <w:jc w:val="both"/>
        <w:rPr>
          <w:rFonts w:ascii="Times New Roman" w:hAnsi="Times New Roman" w:cs="Times New Roman"/>
          <w:lang w:val="pt-BR"/>
        </w:rPr>
      </w:pPr>
    </w:p>
    <w:p w14:paraId="78B8442C" w14:textId="77777777" w:rsidR="009D5AF6" w:rsidRDefault="009D5AF6">
      <w:pPr>
        <w:pStyle w:val="SemEspaamento"/>
        <w:spacing w:line="360" w:lineRule="auto"/>
        <w:jc w:val="both"/>
        <w:rPr>
          <w:rFonts w:ascii="Times New Roman" w:hAnsi="Times New Roman" w:cs="Times New Roman"/>
          <w:lang w:val="pt-BR"/>
        </w:rPr>
      </w:pPr>
    </w:p>
    <w:p w14:paraId="21B9C067"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lastRenderedPageBreak/>
        <w:t xml:space="preserve">Nesse contexto, a solução a ser contratada é a execução da obra por empresa especializada, com base em projetos previamente definidos, em regime de </w:t>
      </w:r>
      <w:r>
        <w:rPr>
          <w:rFonts w:ascii="Times New Roman" w:hAnsi="Times New Roman" w:cs="Times New Roman"/>
          <w:b/>
          <w:bCs/>
          <w:lang w:val="pt-BR"/>
        </w:rPr>
        <w:t>empreitada por preço unitário</w:t>
      </w:r>
      <w:r>
        <w:rPr>
          <w:rFonts w:ascii="Times New Roman" w:hAnsi="Times New Roman" w:cs="Times New Roman"/>
          <w:lang w:val="pt-BR"/>
        </w:rPr>
        <w:t xml:space="preserve">, conforme o </w:t>
      </w:r>
      <w:r>
        <w:rPr>
          <w:rFonts w:ascii="Times New Roman" w:hAnsi="Times New Roman" w:cs="Times New Roman"/>
          <w:b/>
          <w:bCs/>
          <w:lang w:val="pt-BR"/>
        </w:rPr>
        <w:t>inciso XXVIII do art. 6º da Lei nº 14.133/2021</w:t>
      </w:r>
      <w:r>
        <w:rPr>
          <w:rFonts w:ascii="Times New Roman" w:hAnsi="Times New Roman" w:cs="Times New Roman"/>
          <w:lang w:val="pt-BR"/>
        </w:rPr>
        <w:t>. Essa alternativa garante maior controle sobre os custos e prazos, além de atender ao interesse público com economicidade, eficiência e segurança jurídica.</w:t>
      </w:r>
    </w:p>
    <w:p w14:paraId="21B9C068"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A modalidade da licitação será Concorrência, conforme disposto no art. 28, inciso II, da Lei nº 14.133, de 1º de abril de 2021, sendo indicada para a contratação de obras e serviços especiais de engenharia.</w:t>
      </w:r>
    </w:p>
    <w:p w14:paraId="21B9C069" w14:textId="77777777" w:rsidR="00431648" w:rsidRDefault="00000000">
      <w:pPr>
        <w:pStyle w:val="SemEspaamento"/>
        <w:spacing w:line="360" w:lineRule="auto"/>
        <w:ind w:firstLine="720"/>
        <w:jc w:val="both"/>
        <w:rPr>
          <w:rFonts w:ascii="Times New Roman" w:hAnsi="Times New Roman" w:cs="Times New Roman"/>
          <w:lang w:val="pt-BR"/>
        </w:rPr>
      </w:pPr>
      <w:r>
        <w:rPr>
          <w:rFonts w:ascii="Times New Roman" w:hAnsi="Times New Roman" w:cs="Times New Roman"/>
          <w:lang w:val="pt-BR"/>
        </w:rPr>
        <w:t xml:space="preserve">A adoção da Concorrência está fundamentada de forma clara e objetiva na legislação vigente, por se tratar de uma modalidade ampla, isonômica e compatível com contratações de maior vulto, permitindo a participação de qualquer interessado que atenda às exigências do edital, promovendo assim a seleção da proposta mais vantajosa para a Administração Pública, com observância dos princípios da legalidade, impessoalidade, moralidade, publicidade e eficiência. </w:t>
      </w:r>
    </w:p>
    <w:tbl>
      <w:tblPr>
        <w:tblStyle w:val="TabeladeGradeClara1"/>
        <w:tblW w:w="10366" w:type="dxa"/>
        <w:tblLayout w:type="fixed"/>
        <w:tblLook w:val="04A0" w:firstRow="1" w:lastRow="0" w:firstColumn="1" w:lastColumn="0" w:noHBand="0" w:noVBand="1"/>
      </w:tblPr>
      <w:tblGrid>
        <w:gridCol w:w="10366"/>
      </w:tblGrid>
      <w:tr w:rsidR="00431648" w14:paraId="21B9C06B" w14:textId="77777777">
        <w:trPr>
          <w:trHeight w:val="367"/>
        </w:trPr>
        <w:tc>
          <w:tcPr>
            <w:tcW w:w="10366" w:type="dxa"/>
            <w:shd w:val="clear" w:color="auto" w:fill="D0CECE" w:themeFill="background2" w:themeFillShade="E6"/>
            <w:vAlign w:val="center"/>
          </w:tcPr>
          <w:p w14:paraId="21B9C06A" w14:textId="77777777" w:rsidR="00431648" w:rsidRDefault="00000000">
            <w:pPr>
              <w:pStyle w:val="Ttulo"/>
              <w:spacing w:line="360" w:lineRule="auto"/>
              <w:jc w:val="both"/>
              <w:rPr>
                <w:rFonts w:ascii="Times New Roman" w:hAnsi="Times New Roman" w:cs="Times New Roman"/>
              </w:rPr>
            </w:pPr>
            <w:bookmarkStart w:id="7" w:name="_Toc194397103"/>
            <w:r>
              <w:rPr>
                <w:rFonts w:ascii="Times New Roman" w:hAnsi="Times New Roman" w:cs="Times New Roman"/>
              </w:rPr>
              <w:t>7. ESTIMATIVA DO VALOR DA CONTRATAÇÃO (art. 18º, §1º, INCISO “VI”)</w:t>
            </w:r>
            <w:bookmarkEnd w:id="7"/>
          </w:p>
        </w:tc>
      </w:tr>
    </w:tbl>
    <w:p w14:paraId="21B9C06C" w14:textId="77777777" w:rsidR="00431648" w:rsidRDefault="00431648">
      <w:pPr>
        <w:pStyle w:val="SemEspaamento"/>
        <w:spacing w:line="360" w:lineRule="auto"/>
        <w:jc w:val="both"/>
        <w:rPr>
          <w:rFonts w:ascii="Times New Roman" w:hAnsi="Times New Roman" w:cs="Times New Roman"/>
          <w:lang w:val="pt-BR"/>
        </w:rPr>
      </w:pPr>
    </w:p>
    <w:p w14:paraId="21B9C06D"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do art. 18 da Lei 14.133/21 e Seção VI do Decreto Municipal 11.685/2023).</w:t>
      </w:r>
    </w:p>
    <w:p w14:paraId="408AB37D" w14:textId="77777777" w:rsidR="00342D78" w:rsidRPr="0072319F" w:rsidRDefault="00342D78">
      <w:pPr>
        <w:spacing w:line="360" w:lineRule="auto"/>
        <w:ind w:left="2835" w:right="-1"/>
        <w:jc w:val="both"/>
        <w:rPr>
          <w:rFonts w:ascii="Times New Roman" w:hAnsi="Times New Roman" w:cs="Times New Roman"/>
          <w:lang w:val="pt-PT"/>
        </w:rPr>
      </w:pPr>
    </w:p>
    <w:p w14:paraId="45129F37" w14:textId="38E99905" w:rsidR="009D5AF6" w:rsidRPr="009D5AF6"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 xml:space="preserve">O valor estimado da contratação é de R$ </w:t>
      </w:r>
      <w:r w:rsidR="0072319F" w:rsidRPr="0072319F">
        <w:rPr>
          <w:rFonts w:ascii="Times New Roman" w:hAnsi="Times New Roman" w:cs="Times New Roman"/>
        </w:rPr>
        <w:t>R$ 791.392,64</w:t>
      </w:r>
      <w:r w:rsidRPr="009D5AF6">
        <w:rPr>
          <w:rFonts w:ascii="Times New Roman" w:hAnsi="Times New Roman" w:cs="Times New Roman"/>
        </w:rPr>
        <w:t>, contemplando todos os insumos, serviços e encargos necessários à execução integral da Reforma da Cobertura do Hospital Municipal Cristyan Mary da Silveira e Lima, incluindo encargos sociais, fornecimento de materiais, mão de obra, equipamentos, despesas indiretas, tributos e demais custos necessários à perfeita execução do objeto.</w:t>
      </w:r>
    </w:p>
    <w:p w14:paraId="7672D100" w14:textId="77777777" w:rsidR="009D5AF6" w:rsidRPr="009D5AF6"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Para a composição orçamentária, foram utilizadas referências oficiais como SINAPI, ORSE e SICRO, bem como valores de mercado devidamente justificados, conforme preceitua a legislação vigente e os princípios da economicidade e eficiência.</w:t>
      </w:r>
    </w:p>
    <w:p w14:paraId="21B9C06E" w14:textId="4E8C5421" w:rsidR="00431648" w:rsidRPr="009D5AF6"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A planilha orçamentária, contendo a estimativa detalhada dos custos da contratação, integra o processo licitatório e será disponibilizada nos termos da legislação aplicável, garantindo a transparência do certame, conforme determina a Lei nº 14.133/2021.</w:t>
      </w:r>
    </w:p>
    <w:p w14:paraId="21B9C072" w14:textId="77777777" w:rsidR="00431648" w:rsidRPr="00940C2E"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74" w14:textId="77777777">
        <w:trPr>
          <w:trHeight w:val="367"/>
        </w:trPr>
        <w:tc>
          <w:tcPr>
            <w:tcW w:w="10366" w:type="dxa"/>
            <w:shd w:val="clear" w:color="auto" w:fill="D0CECE" w:themeFill="background2" w:themeFillShade="E6"/>
            <w:vAlign w:val="center"/>
          </w:tcPr>
          <w:p w14:paraId="21B9C073" w14:textId="77777777" w:rsidR="00431648" w:rsidRDefault="00000000">
            <w:pPr>
              <w:pStyle w:val="Ttulo"/>
              <w:spacing w:line="360" w:lineRule="auto"/>
              <w:jc w:val="both"/>
              <w:rPr>
                <w:rFonts w:ascii="Times New Roman" w:hAnsi="Times New Roman" w:cs="Times New Roman"/>
              </w:rPr>
            </w:pPr>
            <w:bookmarkStart w:id="8" w:name="_Toc194397104"/>
            <w:r>
              <w:rPr>
                <w:rFonts w:ascii="Times New Roman" w:hAnsi="Times New Roman" w:cs="Times New Roman"/>
              </w:rPr>
              <w:t>8. DESCRIÇÃO DA SOLUÇÃO COMO UM TODO (art. 18º, §1º, INCISO “VII”)</w:t>
            </w:r>
            <w:bookmarkEnd w:id="8"/>
          </w:p>
        </w:tc>
      </w:tr>
    </w:tbl>
    <w:p w14:paraId="21B9C075" w14:textId="77777777" w:rsidR="00431648" w:rsidRDefault="00431648">
      <w:pPr>
        <w:pStyle w:val="SemEspaamento"/>
        <w:spacing w:line="360" w:lineRule="auto"/>
        <w:jc w:val="both"/>
        <w:rPr>
          <w:rFonts w:ascii="Times New Roman" w:hAnsi="Times New Roman" w:cs="Times New Roman"/>
          <w:lang w:val="pt-BR"/>
        </w:rPr>
      </w:pPr>
    </w:p>
    <w:p w14:paraId="21B9C077" w14:textId="18A2D0AD" w:rsidR="00431648" w:rsidRDefault="00000000" w:rsidP="00BC1D8A">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da solução como um todo, inclusive das exigências relacionadas à manutenção e à assistência técnica, quando for o caso; (inciso VII do § 1° do art. 18 da Lei 14.133/21 e </w:t>
      </w:r>
      <w:r>
        <w:rPr>
          <w:rFonts w:ascii="Times New Roman" w:hAnsi="Times New Roman" w:cs="Times New Roman"/>
          <w:sz w:val="18"/>
          <w:szCs w:val="14"/>
        </w:rPr>
        <w:lastRenderedPageBreak/>
        <w:t>Seção VI do Decreto Municipal 11.685/2023).</w:t>
      </w:r>
    </w:p>
    <w:p w14:paraId="5B7206C2" w14:textId="77777777" w:rsidR="00BC1D8A" w:rsidRPr="00BC1D8A" w:rsidRDefault="00000000" w:rsidP="00BC1D8A">
      <w:pPr>
        <w:pStyle w:val="SemEspaamento"/>
        <w:spacing w:line="360" w:lineRule="auto"/>
        <w:jc w:val="both"/>
        <w:rPr>
          <w:rFonts w:ascii="Times New Roman" w:hAnsi="Times New Roman" w:cs="Times New Roman"/>
          <w:lang w:val="pt-BR"/>
        </w:rPr>
      </w:pPr>
      <w:r>
        <w:rPr>
          <w:rFonts w:ascii="Times New Roman" w:hAnsi="Times New Roman" w:cs="Times New Roman"/>
          <w:lang w:val="pt-BR"/>
        </w:rPr>
        <w:tab/>
      </w:r>
      <w:r w:rsidR="00BC1D8A" w:rsidRPr="00BC1D8A">
        <w:rPr>
          <w:rFonts w:ascii="Times New Roman" w:hAnsi="Times New Roman" w:cs="Times New Roman"/>
          <w:lang w:val="pt-BR"/>
        </w:rPr>
        <w:t xml:space="preserve">A solução proposta contempla a execução da Reforma da Cobertura do Hospital Municipal </w:t>
      </w:r>
      <w:proofErr w:type="spellStart"/>
      <w:r w:rsidR="00BC1D8A" w:rsidRPr="00BC1D8A">
        <w:rPr>
          <w:rFonts w:ascii="Times New Roman" w:hAnsi="Times New Roman" w:cs="Times New Roman"/>
          <w:lang w:val="pt-BR"/>
        </w:rPr>
        <w:t>Cristyan</w:t>
      </w:r>
      <w:proofErr w:type="spellEnd"/>
      <w:r w:rsidR="00BC1D8A" w:rsidRPr="00BC1D8A">
        <w:rPr>
          <w:rFonts w:ascii="Times New Roman" w:hAnsi="Times New Roman" w:cs="Times New Roman"/>
          <w:lang w:val="pt-BR"/>
        </w:rPr>
        <w:t xml:space="preserve"> Mary da Silveira e Lima, em Rondonópolis – MT, visando restabelecer as condições adequadas de segurança, estanqueidade e funcionalidade da edificação. A intervenção busca eliminar problemas relacionados a infiltrações, desgastes e demais patologias construtivas identificadas no sistema de cobertura, contribuindo para a preservação da infraestrutura hospitalar e para a continuidade dos serviços de saúde prestados à população.</w:t>
      </w:r>
    </w:p>
    <w:p w14:paraId="407A27BA" w14:textId="77777777" w:rsidR="00BC1D8A" w:rsidRPr="00BC1D8A" w:rsidRDefault="00BC1D8A" w:rsidP="00BC1D8A">
      <w:pPr>
        <w:pStyle w:val="SemEspaamento"/>
        <w:spacing w:line="360" w:lineRule="auto"/>
        <w:ind w:firstLine="720"/>
        <w:jc w:val="both"/>
        <w:rPr>
          <w:rFonts w:ascii="Times New Roman" w:hAnsi="Times New Roman" w:cs="Times New Roman"/>
          <w:lang w:val="pt-BR"/>
        </w:rPr>
      </w:pPr>
      <w:r w:rsidRPr="00BC1D8A">
        <w:rPr>
          <w:rFonts w:ascii="Times New Roman" w:hAnsi="Times New Roman" w:cs="Times New Roman"/>
          <w:lang w:val="pt-BR"/>
        </w:rPr>
        <w:t>A intervenção será executada com base nos projetos, memoriais descritivos e demais documentos técnicos elaborados para a contratação, observando as normas técnicas aplicáveis, os requisitos de segurança, durabilidade e desempenho da edificação. Serão contemplados os serviços de recuperação, substituição e adequação dos elementos que compõem a cobertura, bem como os serviços complementares necessários ao pleno funcionamento do sistema.</w:t>
      </w:r>
    </w:p>
    <w:p w14:paraId="2952EFF3" w14:textId="77777777" w:rsidR="00BC1D8A" w:rsidRPr="00BC1D8A" w:rsidRDefault="00BC1D8A" w:rsidP="00BC1D8A">
      <w:pPr>
        <w:pStyle w:val="SemEspaamento"/>
        <w:spacing w:line="360" w:lineRule="auto"/>
        <w:ind w:firstLine="720"/>
        <w:jc w:val="both"/>
        <w:rPr>
          <w:rFonts w:ascii="Times New Roman" w:hAnsi="Times New Roman" w:cs="Times New Roman"/>
          <w:lang w:val="pt-BR"/>
        </w:rPr>
      </w:pPr>
      <w:r w:rsidRPr="00BC1D8A">
        <w:rPr>
          <w:rFonts w:ascii="Times New Roman" w:hAnsi="Times New Roman" w:cs="Times New Roman"/>
          <w:lang w:val="pt-BR"/>
        </w:rPr>
        <w:t>A execução será contratada sob o regime de empreitada por preço unitário, considerando a natureza dos serviços e a necessidade de medição dos quantitativos efetivamente executados. A fiscalização contratual ficará a cargo da Secretaria Municipal de Saúde, por meio de servidores formalmente designados para o acompanhamento da obra.</w:t>
      </w:r>
    </w:p>
    <w:p w14:paraId="6DCC0DE6" w14:textId="77777777" w:rsidR="00BC1D8A" w:rsidRPr="00BC1D8A" w:rsidRDefault="00BC1D8A" w:rsidP="00BC1D8A">
      <w:pPr>
        <w:pStyle w:val="SemEspaamento"/>
        <w:spacing w:line="360" w:lineRule="auto"/>
        <w:ind w:firstLine="720"/>
        <w:jc w:val="both"/>
        <w:rPr>
          <w:rFonts w:ascii="Times New Roman" w:hAnsi="Times New Roman" w:cs="Times New Roman"/>
          <w:lang w:val="pt-BR"/>
        </w:rPr>
      </w:pPr>
      <w:r w:rsidRPr="00BC1D8A">
        <w:rPr>
          <w:rFonts w:ascii="Times New Roman" w:hAnsi="Times New Roman" w:cs="Times New Roman"/>
          <w:lang w:val="pt-BR"/>
        </w:rPr>
        <w:t>A conclusão da intervenção permitirá a adequada conservação da unidade hospitalar, proporcionando melhores condições de segurança e conforto aos usuários e profissionais de saúde, além de contribuir para a preservação do patrimônio público e para a continuidade dos atendimentos prestados à população.</w:t>
      </w:r>
    </w:p>
    <w:p w14:paraId="21B9C07D" w14:textId="483E1B7A" w:rsidR="00431648" w:rsidRDefault="00431648" w:rsidP="00BC1D8A">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7F" w14:textId="77777777">
        <w:trPr>
          <w:trHeight w:val="367"/>
        </w:trPr>
        <w:tc>
          <w:tcPr>
            <w:tcW w:w="10366" w:type="dxa"/>
            <w:shd w:val="clear" w:color="auto" w:fill="D0CECE" w:themeFill="background2" w:themeFillShade="E6"/>
            <w:vAlign w:val="center"/>
          </w:tcPr>
          <w:p w14:paraId="21B9C07E" w14:textId="77777777" w:rsidR="00431648" w:rsidRDefault="00000000">
            <w:pPr>
              <w:pStyle w:val="Ttulo"/>
              <w:spacing w:line="360" w:lineRule="auto"/>
              <w:jc w:val="both"/>
              <w:rPr>
                <w:rFonts w:ascii="Times New Roman" w:hAnsi="Times New Roman" w:cs="Times New Roman"/>
              </w:rPr>
            </w:pPr>
            <w:bookmarkStart w:id="9" w:name="_Toc194397105"/>
            <w:r>
              <w:rPr>
                <w:rFonts w:ascii="Times New Roman" w:hAnsi="Times New Roman" w:cs="Times New Roman"/>
              </w:rPr>
              <w:t>9. JUSTIFICATIVA PARA O PARCELAMENTO OU NÃO DA SOLUÇÃO (art. 18º, §1º, INCISO “VIII”)</w:t>
            </w:r>
            <w:bookmarkEnd w:id="9"/>
          </w:p>
        </w:tc>
      </w:tr>
    </w:tbl>
    <w:p w14:paraId="21B9C080" w14:textId="77777777" w:rsidR="00431648" w:rsidRDefault="00431648">
      <w:pPr>
        <w:pStyle w:val="SemEspaamento"/>
        <w:spacing w:line="360" w:lineRule="auto"/>
        <w:jc w:val="both"/>
        <w:rPr>
          <w:rFonts w:ascii="Times New Roman" w:hAnsi="Times New Roman" w:cs="Times New Roman"/>
          <w:lang w:val="pt-BR"/>
        </w:rPr>
      </w:pPr>
    </w:p>
    <w:p w14:paraId="21B9C081"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justificativas para o parcelamento ou não da contratação; (inciso VIII do § 1° do art. 18 da Lei 14.133/21 e Seção VI do Decreto Municipal 11.685/2023).</w:t>
      </w:r>
    </w:p>
    <w:p w14:paraId="21B9C082"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r>
    </w:p>
    <w:p w14:paraId="3792E1CA" w14:textId="77777777" w:rsidR="009D5AF6" w:rsidRPr="009D5AF6" w:rsidRDefault="00000000" w:rsidP="009D5AF6">
      <w:pPr>
        <w:pStyle w:val="SemEspaamento"/>
        <w:spacing w:line="360" w:lineRule="auto"/>
        <w:jc w:val="both"/>
        <w:rPr>
          <w:rFonts w:ascii="Times New Roman" w:hAnsi="Times New Roman" w:cs="Times New Roman"/>
        </w:rPr>
      </w:pPr>
      <w:r>
        <w:rPr>
          <w:rFonts w:ascii="Times New Roman" w:hAnsi="Times New Roman" w:cs="Times New Roman"/>
        </w:rPr>
        <w:tab/>
      </w:r>
      <w:r w:rsidR="009D5AF6" w:rsidRPr="009D5AF6">
        <w:rPr>
          <w:rFonts w:ascii="Times New Roman" w:hAnsi="Times New Roman" w:cs="Times New Roman"/>
        </w:rPr>
        <w:t>A solução proposta contempla a execução da Reforma da Cobertura do Hospital Municipal Cristyan Mary da Silveira e Lima, em Rondonópolis – MT, visando restabelecer as condições adequadas de segurança, estanqueidade e funcionalidade da edificação. A intervenção busca eliminar problemas relacionados a infiltrações, desgastes e demais patologias construtivas identificadas no sistema de cobertura, contribuindo para a preservação da infraestrutura hospitalar e para a continuidade dos serviços de saúde prestados à população.</w:t>
      </w:r>
    </w:p>
    <w:p w14:paraId="18ECCE37" w14:textId="77777777" w:rsidR="009D5AF6" w:rsidRPr="009D5AF6"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A intervenção será executada com base nos projetos, memoriais descritivos e demais documentos técnicos elaborados para a contratação, observando as normas técnicas aplicáveis, os requisitos de segurança, durabilidade e desempenho da edificação. Serão contemplados os serviços de recuperação, substituição e adequação dos elementos que compõem a cobertura, bem como os serviços complementares necessários ao pleno funcionamento do sistema.</w:t>
      </w:r>
    </w:p>
    <w:p w14:paraId="4FAFC090" w14:textId="77777777" w:rsidR="009D5AF6" w:rsidRPr="009D5AF6"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 xml:space="preserve">A execução será contratada sob o regime de empreitada por preço unitário, considerando a natureza dos serviços e a necessidade de medição dos quantitativos efetivamente executados. A fiscalização contratual ficará a cargo </w:t>
      </w:r>
      <w:r w:rsidRPr="009D5AF6">
        <w:rPr>
          <w:rFonts w:ascii="Times New Roman" w:hAnsi="Times New Roman" w:cs="Times New Roman"/>
        </w:rPr>
        <w:lastRenderedPageBreak/>
        <w:t>da Secretaria Municipal de Saúde, por meio de servidores formalmente designados para o acompanhamento da obra.</w:t>
      </w:r>
    </w:p>
    <w:p w14:paraId="21B9C086" w14:textId="005856FE" w:rsidR="00431648" w:rsidRDefault="009D5AF6" w:rsidP="009D5AF6">
      <w:pPr>
        <w:pStyle w:val="SemEspaamento"/>
        <w:spacing w:line="360" w:lineRule="auto"/>
        <w:ind w:firstLine="720"/>
        <w:jc w:val="both"/>
        <w:rPr>
          <w:rFonts w:ascii="Times New Roman" w:hAnsi="Times New Roman" w:cs="Times New Roman"/>
        </w:rPr>
      </w:pPr>
      <w:r w:rsidRPr="009D5AF6">
        <w:rPr>
          <w:rFonts w:ascii="Times New Roman" w:hAnsi="Times New Roman" w:cs="Times New Roman"/>
        </w:rPr>
        <w:t>A conclusão da intervenção permitirá a adequada conservação da unidade hospitalar, proporcionando melhores condições de segurança e conforto aos usuários e profissionais de saúde, além de contribuir para a preservação do patrimônio público e para a continuidade dos atendimentos prestados à população.</w:t>
      </w:r>
    </w:p>
    <w:tbl>
      <w:tblPr>
        <w:tblStyle w:val="TabeladeGradeClara1"/>
        <w:tblW w:w="10366" w:type="dxa"/>
        <w:tblLayout w:type="fixed"/>
        <w:tblLook w:val="04A0" w:firstRow="1" w:lastRow="0" w:firstColumn="1" w:lastColumn="0" w:noHBand="0" w:noVBand="1"/>
      </w:tblPr>
      <w:tblGrid>
        <w:gridCol w:w="10366"/>
      </w:tblGrid>
      <w:tr w:rsidR="00431648" w14:paraId="21B9C088" w14:textId="77777777">
        <w:trPr>
          <w:trHeight w:val="367"/>
        </w:trPr>
        <w:tc>
          <w:tcPr>
            <w:tcW w:w="10366" w:type="dxa"/>
            <w:shd w:val="clear" w:color="auto" w:fill="D0CECE" w:themeFill="background2" w:themeFillShade="E6"/>
            <w:vAlign w:val="center"/>
          </w:tcPr>
          <w:p w14:paraId="21B9C087" w14:textId="77777777" w:rsidR="00431648" w:rsidRDefault="00000000">
            <w:pPr>
              <w:pStyle w:val="Ttulo"/>
              <w:spacing w:line="360" w:lineRule="auto"/>
              <w:jc w:val="both"/>
              <w:rPr>
                <w:rFonts w:ascii="Times New Roman" w:hAnsi="Times New Roman" w:cs="Times New Roman"/>
              </w:rPr>
            </w:pPr>
            <w:bookmarkStart w:id="10" w:name="_Toc194397106"/>
            <w:r>
              <w:rPr>
                <w:rFonts w:ascii="Times New Roman" w:hAnsi="Times New Roman" w:cs="Times New Roman"/>
              </w:rPr>
              <w:t>10. DEMONSTRATIVO DOS RESULTADOS PRETENDIDOS (art. 18º, §1º, INCISO “IX”)</w:t>
            </w:r>
            <w:bookmarkEnd w:id="10"/>
          </w:p>
        </w:tc>
      </w:tr>
    </w:tbl>
    <w:p w14:paraId="21B9C089" w14:textId="77777777" w:rsidR="00431648" w:rsidRDefault="00431648">
      <w:pPr>
        <w:pStyle w:val="SemEspaamento"/>
        <w:spacing w:line="360" w:lineRule="auto"/>
        <w:jc w:val="both"/>
        <w:rPr>
          <w:rFonts w:ascii="Times New Roman" w:hAnsi="Times New Roman" w:cs="Times New Roman"/>
          <w:lang w:val="pt-BR"/>
        </w:rPr>
      </w:pPr>
    </w:p>
    <w:p w14:paraId="21B9C08A"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demonstrativo dos resultados pretendidos em termos de economicidade e de melhor aproveitamento dos recursos humanos, materiais e financeiros disponíveis; (inciso IX do § 1° do art. 18 da Lei 14.133/21 e Seção VI do Decreto Municipal 11.685/2023).</w:t>
      </w:r>
    </w:p>
    <w:p w14:paraId="21B9C08B" w14:textId="77777777" w:rsidR="00431648" w:rsidRDefault="00431648">
      <w:pPr>
        <w:pStyle w:val="SemEspaamento"/>
        <w:spacing w:line="360" w:lineRule="auto"/>
        <w:jc w:val="both"/>
        <w:rPr>
          <w:rFonts w:ascii="Times New Roman" w:hAnsi="Times New Roman" w:cs="Times New Roman"/>
          <w:lang w:val="pt-BR"/>
        </w:rPr>
      </w:pPr>
    </w:p>
    <w:p w14:paraId="48C7D37D" w14:textId="77777777" w:rsidR="00BC1D8A" w:rsidRPr="00BC1D8A" w:rsidRDefault="00000000" w:rsidP="00BC1D8A">
      <w:pPr>
        <w:pStyle w:val="SemEspaamento"/>
        <w:spacing w:line="360" w:lineRule="auto"/>
        <w:jc w:val="both"/>
        <w:rPr>
          <w:rFonts w:ascii="Times New Roman" w:hAnsi="Times New Roman" w:cs="Times New Roman"/>
        </w:rPr>
      </w:pPr>
      <w:r>
        <w:rPr>
          <w:rFonts w:ascii="Times New Roman" w:hAnsi="Times New Roman" w:cs="Times New Roman"/>
        </w:rPr>
        <w:tab/>
      </w:r>
      <w:r w:rsidR="00BC1D8A" w:rsidRPr="00BC1D8A">
        <w:rPr>
          <w:rFonts w:ascii="Times New Roman" w:hAnsi="Times New Roman" w:cs="Times New Roman"/>
        </w:rPr>
        <w:t>A execução da Reforma da Cobertura do Hospital Municipal Cristyan Mary da Silveira e Lima tem como principal resultado esperado a recuperação das condições adequadas de segurança, estanqueidade e funcionalidade da edificação, contribuindo para a preservação da infraestrutura hospitalar e para a continuidade dos serviços públicos de saúde prestados à população.</w:t>
      </w:r>
    </w:p>
    <w:p w14:paraId="350940F8" w14:textId="77777777" w:rsidR="00BC1D8A" w:rsidRPr="00BC1D8A" w:rsidRDefault="00BC1D8A" w:rsidP="00BC1D8A">
      <w:pPr>
        <w:pStyle w:val="SemEspaamento"/>
        <w:spacing w:line="360" w:lineRule="auto"/>
        <w:ind w:firstLine="360"/>
        <w:jc w:val="both"/>
        <w:rPr>
          <w:rFonts w:ascii="Times New Roman" w:hAnsi="Times New Roman" w:cs="Times New Roman"/>
        </w:rPr>
      </w:pPr>
      <w:r w:rsidRPr="00BC1D8A">
        <w:rPr>
          <w:rFonts w:ascii="Times New Roman" w:hAnsi="Times New Roman" w:cs="Times New Roman"/>
        </w:rPr>
        <w:t>Dentre os principais resultados a serem alcançados com a contratação, destacam-se:</w:t>
      </w:r>
    </w:p>
    <w:p w14:paraId="3F0E4CC6" w14:textId="714D3B3E" w:rsidR="00BC1D8A" w:rsidRPr="00BC1D8A" w:rsidRDefault="00BC1D8A" w:rsidP="00BC1D8A">
      <w:pPr>
        <w:pStyle w:val="SemEspaamento"/>
        <w:numPr>
          <w:ilvl w:val="0"/>
          <w:numId w:val="9"/>
        </w:numPr>
        <w:spacing w:line="360" w:lineRule="auto"/>
        <w:jc w:val="both"/>
        <w:rPr>
          <w:rFonts w:ascii="Times New Roman" w:hAnsi="Times New Roman" w:cs="Times New Roman"/>
        </w:rPr>
      </w:pPr>
      <w:r w:rsidRPr="00BC1D8A">
        <w:rPr>
          <w:rFonts w:ascii="Times New Roman" w:hAnsi="Times New Roman" w:cs="Times New Roman"/>
        </w:rPr>
        <w:t>Eliminação ou redução significativa de infiltrações, vazamentos e demais patologias associadas ao sistema de cobertura;</w:t>
      </w:r>
    </w:p>
    <w:p w14:paraId="22A42A3D" w14:textId="6AB6CE8C" w:rsidR="00BC1D8A" w:rsidRPr="00BC1D8A" w:rsidRDefault="00BC1D8A" w:rsidP="00BC1D8A">
      <w:pPr>
        <w:pStyle w:val="SemEspaamento"/>
        <w:numPr>
          <w:ilvl w:val="0"/>
          <w:numId w:val="9"/>
        </w:numPr>
        <w:spacing w:line="360" w:lineRule="auto"/>
        <w:jc w:val="both"/>
        <w:rPr>
          <w:rFonts w:ascii="Times New Roman" w:hAnsi="Times New Roman" w:cs="Times New Roman"/>
        </w:rPr>
      </w:pPr>
      <w:r w:rsidRPr="00BC1D8A">
        <w:rPr>
          <w:rFonts w:ascii="Times New Roman" w:hAnsi="Times New Roman" w:cs="Times New Roman"/>
        </w:rPr>
        <w:t>Preservação da estrutura física da edificação, reduzindo riscos de deterioração de elementos construtivos e prolongando a vida útil do imóvel;</w:t>
      </w:r>
    </w:p>
    <w:p w14:paraId="0EF525A1" w14:textId="19E3EC13" w:rsidR="00BC1D8A" w:rsidRPr="00BC1D8A" w:rsidRDefault="00BC1D8A" w:rsidP="00BC1D8A">
      <w:pPr>
        <w:pStyle w:val="SemEspaamento"/>
        <w:numPr>
          <w:ilvl w:val="0"/>
          <w:numId w:val="9"/>
        </w:numPr>
        <w:spacing w:line="360" w:lineRule="auto"/>
        <w:jc w:val="both"/>
        <w:rPr>
          <w:rFonts w:ascii="Times New Roman" w:hAnsi="Times New Roman" w:cs="Times New Roman"/>
        </w:rPr>
      </w:pPr>
      <w:r w:rsidRPr="00BC1D8A">
        <w:rPr>
          <w:rFonts w:ascii="Times New Roman" w:hAnsi="Times New Roman" w:cs="Times New Roman"/>
        </w:rPr>
        <w:t>Proteção dos equipamentos, mobiliários e instalações existentes contra danos decorrentes da ação da umidade e das intempéries;</w:t>
      </w:r>
    </w:p>
    <w:p w14:paraId="6DB13F31" w14:textId="116101A8" w:rsidR="00BC1D8A" w:rsidRPr="00BC1D8A" w:rsidRDefault="00BC1D8A" w:rsidP="00BC1D8A">
      <w:pPr>
        <w:pStyle w:val="SemEspaamento"/>
        <w:numPr>
          <w:ilvl w:val="0"/>
          <w:numId w:val="9"/>
        </w:numPr>
        <w:spacing w:line="360" w:lineRule="auto"/>
        <w:jc w:val="both"/>
        <w:rPr>
          <w:rFonts w:ascii="Times New Roman" w:hAnsi="Times New Roman" w:cs="Times New Roman"/>
        </w:rPr>
      </w:pPr>
      <w:r w:rsidRPr="00BC1D8A">
        <w:rPr>
          <w:rFonts w:ascii="Times New Roman" w:hAnsi="Times New Roman" w:cs="Times New Roman"/>
        </w:rPr>
        <w:t>Melhoria das condições de segurança, conforto e salubridade dos ambientes utilizados por pacientes, acompanhantes e profissionais de saúde;</w:t>
      </w:r>
    </w:p>
    <w:p w14:paraId="43D2335C" w14:textId="30154BC0" w:rsidR="00BC1D8A" w:rsidRPr="00BC1D8A" w:rsidRDefault="00BC1D8A" w:rsidP="00BC1D8A">
      <w:pPr>
        <w:pStyle w:val="SemEspaamento"/>
        <w:numPr>
          <w:ilvl w:val="0"/>
          <w:numId w:val="9"/>
        </w:numPr>
        <w:spacing w:line="360" w:lineRule="auto"/>
        <w:jc w:val="both"/>
        <w:rPr>
          <w:rFonts w:ascii="Times New Roman" w:hAnsi="Times New Roman" w:cs="Times New Roman"/>
        </w:rPr>
      </w:pPr>
      <w:r w:rsidRPr="00BC1D8A">
        <w:rPr>
          <w:rFonts w:ascii="Times New Roman" w:hAnsi="Times New Roman" w:cs="Times New Roman"/>
        </w:rPr>
        <w:t>Redução da necessidade de intervenções corretivas emergenciais e dos custos de manutenção decorrentes de falhas na cobertura;</w:t>
      </w:r>
    </w:p>
    <w:p w14:paraId="7209344C" w14:textId="39652FE6" w:rsidR="00BC1D8A" w:rsidRPr="00BC1D8A" w:rsidRDefault="00BC1D8A" w:rsidP="00BC1D8A">
      <w:pPr>
        <w:pStyle w:val="SemEspaamento"/>
        <w:numPr>
          <w:ilvl w:val="0"/>
          <w:numId w:val="9"/>
        </w:numPr>
        <w:spacing w:line="360" w:lineRule="auto"/>
        <w:jc w:val="both"/>
        <w:rPr>
          <w:rFonts w:ascii="Times New Roman" w:hAnsi="Times New Roman" w:cs="Times New Roman"/>
        </w:rPr>
      </w:pPr>
      <w:r w:rsidRPr="00BC1D8A">
        <w:rPr>
          <w:rFonts w:ascii="Times New Roman" w:hAnsi="Times New Roman" w:cs="Times New Roman"/>
        </w:rPr>
        <w:t>Garantia de melhores condições para a continuidade dos serviços hospitalares, minimizando impactos operacionais causados por problemas estruturais e infiltrações;</w:t>
      </w:r>
    </w:p>
    <w:p w14:paraId="66284CAE" w14:textId="53EDA597" w:rsidR="00BC1D8A" w:rsidRPr="00BC1D8A" w:rsidRDefault="00BC1D8A" w:rsidP="00BC1D8A">
      <w:pPr>
        <w:pStyle w:val="SemEspaamento"/>
        <w:numPr>
          <w:ilvl w:val="0"/>
          <w:numId w:val="9"/>
        </w:numPr>
        <w:spacing w:line="360" w:lineRule="auto"/>
        <w:jc w:val="both"/>
        <w:rPr>
          <w:rFonts w:ascii="Times New Roman" w:hAnsi="Times New Roman" w:cs="Times New Roman"/>
        </w:rPr>
      </w:pPr>
      <w:r w:rsidRPr="00BC1D8A">
        <w:rPr>
          <w:rFonts w:ascii="Times New Roman" w:hAnsi="Times New Roman" w:cs="Times New Roman"/>
        </w:rPr>
        <w:t>Valorização e adequada conservação do patrimônio público municipal.</w:t>
      </w:r>
    </w:p>
    <w:p w14:paraId="33129FD4" w14:textId="77777777" w:rsidR="00BC1D8A" w:rsidRPr="00BC1D8A" w:rsidRDefault="00BC1D8A" w:rsidP="00BC1D8A">
      <w:pPr>
        <w:pStyle w:val="SemEspaamento"/>
        <w:spacing w:line="360" w:lineRule="auto"/>
        <w:ind w:firstLine="720"/>
        <w:jc w:val="both"/>
        <w:rPr>
          <w:rFonts w:ascii="Times New Roman" w:hAnsi="Times New Roman" w:cs="Times New Roman"/>
        </w:rPr>
      </w:pPr>
      <w:r w:rsidRPr="00BC1D8A">
        <w:rPr>
          <w:rFonts w:ascii="Times New Roman" w:hAnsi="Times New Roman" w:cs="Times New Roman"/>
        </w:rPr>
        <w:t>A obra em questão está orientada para gerar ganhos efetivos na conservação da infraestrutura hospitalar, na segurança dos usuários e na eficiência da gestão patrimonial pública. Trata-se de um investimento estratégico, planejado para assegurar a adequada manutenção da unidade de saúde e contribuir para a continuidade dos serviços prestados à população, em consonância com os princípios da eficiência, economicidade e interesse público.</w:t>
      </w:r>
    </w:p>
    <w:p w14:paraId="21B9C099" w14:textId="77777777" w:rsidR="00431648" w:rsidRDefault="00431648" w:rsidP="00BC1D8A">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9B" w14:textId="77777777">
        <w:trPr>
          <w:trHeight w:val="367"/>
        </w:trPr>
        <w:tc>
          <w:tcPr>
            <w:tcW w:w="10366" w:type="dxa"/>
            <w:shd w:val="clear" w:color="auto" w:fill="D0CECE" w:themeFill="background2" w:themeFillShade="E6"/>
            <w:vAlign w:val="center"/>
          </w:tcPr>
          <w:p w14:paraId="21B9C09A" w14:textId="77777777" w:rsidR="00431648" w:rsidRDefault="00000000">
            <w:pPr>
              <w:pStyle w:val="Ttulo"/>
              <w:spacing w:line="360" w:lineRule="auto"/>
              <w:jc w:val="both"/>
              <w:rPr>
                <w:rFonts w:ascii="Times New Roman" w:hAnsi="Times New Roman" w:cs="Times New Roman"/>
                <w:bCs/>
              </w:rPr>
            </w:pPr>
            <w:bookmarkStart w:id="11" w:name="_Toc194397107"/>
            <w:r>
              <w:rPr>
                <w:rFonts w:ascii="Times New Roman" w:hAnsi="Times New Roman" w:cs="Times New Roman"/>
              </w:rPr>
              <w:lastRenderedPageBreak/>
              <w:t xml:space="preserve">11. </w:t>
            </w:r>
            <w:r>
              <w:rPr>
                <w:rFonts w:ascii="Times New Roman" w:hAnsi="Times New Roman" w:cs="Times New Roman"/>
                <w:bCs/>
              </w:rPr>
              <w:t>PROVIDÊNCIAS A SEREM ADOTADAS PELA ADMINISTRAÇÃO PREVIAMENTE A CELEBRAÇÃO DO CONTRATO</w:t>
            </w:r>
            <w:r>
              <w:rPr>
                <w:rFonts w:ascii="Times New Roman" w:hAnsi="Times New Roman" w:cs="Times New Roman"/>
              </w:rPr>
              <w:t xml:space="preserve"> (art. 18º, §1º, INCISO “X”)</w:t>
            </w:r>
            <w:bookmarkEnd w:id="11"/>
          </w:p>
        </w:tc>
      </w:tr>
    </w:tbl>
    <w:p w14:paraId="21B9C09C" w14:textId="77777777" w:rsidR="00431648" w:rsidRDefault="00431648">
      <w:pPr>
        <w:pStyle w:val="SemEspaamento"/>
        <w:spacing w:line="360" w:lineRule="auto"/>
        <w:jc w:val="both"/>
        <w:rPr>
          <w:rFonts w:ascii="Times New Roman" w:hAnsi="Times New Roman" w:cs="Times New Roman"/>
          <w:lang w:val="pt-BR"/>
        </w:rPr>
      </w:pPr>
    </w:p>
    <w:p w14:paraId="21B9C09D"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providências a serem adotadas pela Administração previamente à celebração do contrato, inclusive quanto à capacitação de servidores ou de empregados para fiscalização e gestão contratual; (inciso X do § 1° do art. 18 da Lei 14.133/21 e Seção VI do Decreto Municipal 11.685/2023).</w:t>
      </w:r>
    </w:p>
    <w:p w14:paraId="21B9C09E" w14:textId="77777777" w:rsidR="00431648" w:rsidRDefault="00431648">
      <w:pPr>
        <w:pStyle w:val="SemEspaamento"/>
        <w:spacing w:line="360" w:lineRule="auto"/>
        <w:jc w:val="both"/>
        <w:rPr>
          <w:rFonts w:ascii="Times New Roman" w:hAnsi="Times New Roman" w:cs="Times New Roman"/>
          <w:lang w:val="pt-BR"/>
        </w:rPr>
      </w:pPr>
    </w:p>
    <w:p w14:paraId="21B9C09F"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b/>
          <w:bCs/>
          <w:lang w:val="pt-BR"/>
        </w:rPr>
        <w:tab/>
      </w:r>
      <w:r>
        <w:rPr>
          <w:rFonts w:ascii="Times New Roman" w:hAnsi="Times New Roman" w:cs="Times New Roman"/>
        </w:rPr>
        <w:t>Para assegurar a adequada formalização do contrato e o pleno atendimento ao interesse público, serão adotadas, previamente à celebração contratual, as seguintes providências por parte da Administração Pública Municipal:</w:t>
      </w:r>
    </w:p>
    <w:p w14:paraId="21B9C0A0" w14:textId="77777777" w:rsidR="00431648" w:rsidRDefault="00431648">
      <w:pPr>
        <w:pStyle w:val="SemEspaamento"/>
        <w:spacing w:line="360" w:lineRule="auto"/>
        <w:jc w:val="both"/>
        <w:rPr>
          <w:rFonts w:ascii="Times New Roman" w:hAnsi="Times New Roman" w:cs="Times New Roman"/>
        </w:rPr>
      </w:pPr>
    </w:p>
    <w:p w14:paraId="21B9C0A1" w14:textId="77777777" w:rsidR="00431648" w:rsidRDefault="00000000">
      <w:pPr>
        <w:pStyle w:val="SemEspaamento"/>
        <w:spacing w:line="360" w:lineRule="auto"/>
        <w:ind w:firstLine="360"/>
        <w:jc w:val="both"/>
        <w:rPr>
          <w:rFonts w:ascii="Times New Roman" w:hAnsi="Times New Roman" w:cs="Times New Roman"/>
        </w:rPr>
      </w:pPr>
      <w:r>
        <w:rPr>
          <w:rFonts w:ascii="Times New Roman" w:hAnsi="Times New Roman" w:cs="Times New Roman"/>
          <w:b/>
          <w:bCs/>
        </w:rPr>
        <w:t>Por parte do contratado:</w:t>
      </w:r>
    </w:p>
    <w:p w14:paraId="21B9C0A2"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Observar e cumprir as normas legais, técnicas e administrativas aplicáveis à execução de obras públicas;</w:t>
      </w:r>
    </w:p>
    <w:p w14:paraId="21B9C0A3"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Executar os serviços em conformidade com os projetos, especificações técnicas e condições estabelecidas no Projeto Básico e demais anexos contratuais;</w:t>
      </w:r>
    </w:p>
    <w:p w14:paraId="21B9C0A4"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Manter o padrão de qualidade estabelecido no projeto, utilizando materiais e técnicas compatíveis com a boa prática da engenharia;</w:t>
      </w:r>
    </w:p>
    <w:p w14:paraId="21B9C0A5"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Comunicar formalmente qualquer ocorrência que comprometa a execução dos serviços ao Fiscal do Contrato;</w:t>
      </w:r>
    </w:p>
    <w:p w14:paraId="21B9C0A6" w14:textId="77777777" w:rsidR="00431648" w:rsidRDefault="00000000">
      <w:pPr>
        <w:pStyle w:val="SemEspaamento"/>
        <w:numPr>
          <w:ilvl w:val="0"/>
          <w:numId w:val="3"/>
        </w:numPr>
        <w:spacing w:line="360" w:lineRule="auto"/>
        <w:jc w:val="both"/>
        <w:rPr>
          <w:rFonts w:ascii="Times New Roman" w:hAnsi="Times New Roman" w:cs="Times New Roman"/>
        </w:rPr>
      </w:pPr>
      <w:r>
        <w:rPr>
          <w:rFonts w:ascii="Times New Roman" w:hAnsi="Times New Roman" w:cs="Times New Roman"/>
        </w:rPr>
        <w:t>Prestar esclarecimentos e apresentar documentos sempre que solicitado pela Administração.</w:t>
      </w:r>
    </w:p>
    <w:p w14:paraId="21B9C0A7" w14:textId="77777777" w:rsidR="00431648" w:rsidRDefault="00431648">
      <w:pPr>
        <w:pStyle w:val="SemEspaamento"/>
        <w:spacing w:line="360" w:lineRule="auto"/>
        <w:ind w:left="720"/>
        <w:jc w:val="both"/>
        <w:rPr>
          <w:rFonts w:ascii="Times New Roman" w:hAnsi="Times New Roman" w:cs="Times New Roman"/>
        </w:rPr>
      </w:pPr>
    </w:p>
    <w:p w14:paraId="21B9C0A8" w14:textId="77777777" w:rsidR="00431648" w:rsidRDefault="00000000">
      <w:pPr>
        <w:pStyle w:val="SemEspaamento"/>
        <w:spacing w:line="360" w:lineRule="auto"/>
        <w:ind w:firstLine="360"/>
        <w:jc w:val="both"/>
        <w:rPr>
          <w:rFonts w:ascii="Times New Roman" w:hAnsi="Times New Roman" w:cs="Times New Roman"/>
        </w:rPr>
      </w:pPr>
      <w:r>
        <w:rPr>
          <w:rFonts w:ascii="Times New Roman" w:hAnsi="Times New Roman" w:cs="Times New Roman"/>
          <w:b/>
          <w:bCs/>
        </w:rPr>
        <w:t>Por parte da Administração Pública Municipal:</w:t>
      </w:r>
    </w:p>
    <w:p w14:paraId="21B9C0A9"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lang w:val="pt-BR"/>
        </w:rPr>
        <w:t>Realização da publicação do edital de licitação, conforme os ritos estabelecidos pela Lei nº 14.133/2021;</w:t>
      </w:r>
    </w:p>
    <w:p w14:paraId="21B9C0AA"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rPr>
        <w:t>Designar formalmente o(s) fiscal(is) do contrato, conforme os artigos 117 e 118 da Lei nº 14.133/2021, assegurando sua capacitação técnica;</w:t>
      </w:r>
    </w:p>
    <w:p w14:paraId="21B9C0AB"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rPr>
        <w:t>Providenciar a capacitação dos servidores envolvidos na gestão e fiscalização contratual, visando a melhoria contínua da atuação administrativa;</w:t>
      </w:r>
    </w:p>
    <w:p w14:paraId="21B9C0AC"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rPr>
        <w:t>Assegurar a disponibilidade orçamentária e financeira para a contratação;</w:t>
      </w:r>
    </w:p>
    <w:p w14:paraId="21B9C0AD" w14:textId="77777777" w:rsidR="00431648" w:rsidRDefault="00000000">
      <w:pPr>
        <w:pStyle w:val="SemEspaamento"/>
        <w:numPr>
          <w:ilvl w:val="0"/>
          <w:numId w:val="4"/>
        </w:numPr>
        <w:spacing w:line="360" w:lineRule="auto"/>
        <w:jc w:val="both"/>
        <w:rPr>
          <w:rFonts w:ascii="Times New Roman" w:hAnsi="Times New Roman" w:cs="Times New Roman"/>
        </w:rPr>
      </w:pPr>
      <w:r>
        <w:rPr>
          <w:rFonts w:ascii="Times New Roman" w:hAnsi="Times New Roman" w:cs="Times New Roman"/>
        </w:rPr>
        <w:t>Verificar o atendimento integral às exigências dos projetos e do planejamento previamente estabelecido, garantindo a segurança jurídica do processo.</w:t>
      </w:r>
    </w:p>
    <w:p w14:paraId="21B9C0B1"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B3" w14:textId="77777777">
        <w:trPr>
          <w:trHeight w:val="367"/>
        </w:trPr>
        <w:tc>
          <w:tcPr>
            <w:tcW w:w="10366" w:type="dxa"/>
            <w:shd w:val="clear" w:color="auto" w:fill="D0CECE" w:themeFill="background2" w:themeFillShade="E6"/>
            <w:vAlign w:val="center"/>
          </w:tcPr>
          <w:p w14:paraId="21B9C0B2" w14:textId="77777777" w:rsidR="00431648" w:rsidRDefault="00000000">
            <w:pPr>
              <w:pStyle w:val="Ttulo"/>
              <w:spacing w:line="360" w:lineRule="auto"/>
              <w:jc w:val="both"/>
              <w:rPr>
                <w:rFonts w:ascii="Times New Roman" w:hAnsi="Times New Roman" w:cs="Times New Roman"/>
              </w:rPr>
            </w:pPr>
            <w:bookmarkStart w:id="12" w:name="_Toc194397108"/>
            <w:r>
              <w:rPr>
                <w:rFonts w:ascii="Times New Roman" w:hAnsi="Times New Roman" w:cs="Times New Roman"/>
              </w:rPr>
              <w:t>12. CONTRATAÇÕES CORRELATAS E/OU INTERDEPENDENTES (art. 18º, §1º, INCISO “XI”)</w:t>
            </w:r>
            <w:bookmarkEnd w:id="12"/>
          </w:p>
        </w:tc>
      </w:tr>
    </w:tbl>
    <w:p w14:paraId="21B9C0B4" w14:textId="77777777" w:rsidR="00431648" w:rsidRDefault="00431648">
      <w:pPr>
        <w:pStyle w:val="SemEspaamento"/>
        <w:spacing w:line="360" w:lineRule="auto"/>
        <w:jc w:val="both"/>
        <w:rPr>
          <w:rFonts w:ascii="Times New Roman" w:hAnsi="Times New Roman" w:cs="Times New Roman"/>
          <w:lang w:val="pt-BR"/>
        </w:rPr>
      </w:pPr>
    </w:p>
    <w:p w14:paraId="21B9C0B5"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contratações correlatas e/ou interdependentes; (inciso XI do § 1° do art. 18 da Lei 14.133/21 e Seção VI do Decreto Municipal 11.685/2023).</w:t>
      </w:r>
    </w:p>
    <w:p w14:paraId="21B9C0B6" w14:textId="77777777" w:rsidR="00431648" w:rsidRDefault="00000000">
      <w:pPr>
        <w:pStyle w:val="SemEspaamento"/>
        <w:spacing w:line="360" w:lineRule="auto"/>
        <w:jc w:val="both"/>
        <w:rPr>
          <w:rFonts w:ascii="Times New Roman" w:hAnsi="Times New Roman" w:cs="Times New Roman"/>
          <w:lang w:val="pt-BR"/>
        </w:rPr>
      </w:pPr>
      <w:r>
        <w:rPr>
          <w:rFonts w:ascii="Times New Roman" w:hAnsi="Times New Roman" w:cs="Times New Roman"/>
          <w:lang w:val="pt-BR"/>
        </w:rPr>
        <w:lastRenderedPageBreak/>
        <w:tab/>
      </w:r>
    </w:p>
    <w:p w14:paraId="21B9C0B7"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t>Em análise geral, verifica-se que</w:t>
      </w:r>
      <w:r>
        <w:rPr>
          <w:rFonts w:ascii="Times New Roman" w:hAnsi="Times New Roman" w:cs="Times New Roman"/>
        </w:rPr>
        <w:t xml:space="preserve"> a presente contratação possui escopo definido e contempla todas as etapas necessárias para a execução da obra do ESF Sagrada Família, </w:t>
      </w:r>
      <w:r>
        <w:rPr>
          <w:rFonts w:ascii="Times New Roman" w:hAnsi="Times New Roman" w:cs="Times New Roman"/>
          <w:lang w:val="pt-BR"/>
        </w:rPr>
        <w:t>de modo que não há necessidade de contratações correlatadas ou interdependentes dentro do processo licitatório principal.</w:t>
      </w:r>
    </w:p>
    <w:p w14:paraId="21B9C0B8" w14:textId="77777777" w:rsidR="00431648" w:rsidRDefault="00000000">
      <w:pPr>
        <w:pStyle w:val="SemEspaamento"/>
        <w:spacing w:line="360" w:lineRule="auto"/>
        <w:ind w:firstLine="720"/>
        <w:jc w:val="both"/>
        <w:rPr>
          <w:rFonts w:ascii="Times New Roman" w:hAnsi="Times New Roman" w:cs="Times New Roman"/>
        </w:rPr>
      </w:pPr>
      <w:r>
        <w:rPr>
          <w:rFonts w:ascii="Times New Roman" w:hAnsi="Times New Roman" w:cs="Times New Roman"/>
        </w:rPr>
        <w:t>Entretanto, para que a unidade de saúde esteja plenamente apta a operar e atender à população com qualidade, serão necessárias contratações complementares, de forma paralela ou posterior à obra principal. Tais aquisições, embora não façam parte deste processo licitatório, são fundamentais para a funcionalidade integral da edificação.</w:t>
      </w:r>
    </w:p>
    <w:p w14:paraId="21B9C0B9" w14:textId="77777777" w:rsidR="00431648" w:rsidRDefault="00000000">
      <w:pPr>
        <w:pStyle w:val="SemEspaamento"/>
        <w:spacing w:line="360" w:lineRule="auto"/>
        <w:jc w:val="both"/>
        <w:rPr>
          <w:rFonts w:ascii="Times New Roman" w:hAnsi="Times New Roman" w:cs="Times New Roman"/>
        </w:rPr>
      </w:pPr>
      <w:r>
        <w:rPr>
          <w:rFonts w:ascii="Times New Roman" w:hAnsi="Times New Roman" w:cs="Times New Roman"/>
          <w:lang w:val="pt-BR"/>
        </w:rPr>
        <w:tab/>
      </w:r>
      <w:r>
        <w:rPr>
          <w:rFonts w:ascii="Times New Roman" w:hAnsi="Times New Roman" w:cs="Times New Roman"/>
        </w:rPr>
        <w:t>Entre as possíveis contratações complementares estão:</w:t>
      </w:r>
    </w:p>
    <w:p w14:paraId="21B9C0BA" w14:textId="77777777" w:rsidR="00431648" w:rsidRDefault="00000000">
      <w:pPr>
        <w:pStyle w:val="SemEspaamento"/>
        <w:numPr>
          <w:ilvl w:val="1"/>
          <w:numId w:val="5"/>
        </w:numPr>
        <w:spacing w:line="360" w:lineRule="auto"/>
        <w:jc w:val="both"/>
        <w:rPr>
          <w:rFonts w:ascii="Times New Roman" w:hAnsi="Times New Roman" w:cs="Times New Roman"/>
        </w:rPr>
      </w:pPr>
      <w:r>
        <w:rPr>
          <w:rFonts w:ascii="Times New Roman" w:hAnsi="Times New Roman" w:cs="Times New Roman"/>
        </w:rPr>
        <w:t>Aquisição de mobiliário e equipamentos médicos e hospitalares;</w:t>
      </w:r>
    </w:p>
    <w:p w14:paraId="21B9C0BB" w14:textId="77777777" w:rsidR="00431648" w:rsidRDefault="00000000">
      <w:pPr>
        <w:pStyle w:val="SemEspaamento"/>
        <w:numPr>
          <w:ilvl w:val="1"/>
          <w:numId w:val="5"/>
        </w:numPr>
        <w:spacing w:line="360" w:lineRule="auto"/>
        <w:jc w:val="both"/>
        <w:rPr>
          <w:rFonts w:ascii="Times New Roman" w:hAnsi="Times New Roman" w:cs="Times New Roman"/>
        </w:rPr>
      </w:pPr>
      <w:r>
        <w:rPr>
          <w:rFonts w:ascii="Times New Roman" w:hAnsi="Times New Roman" w:cs="Times New Roman"/>
        </w:rPr>
        <w:t>Aquisição e instalação de equipamentos de informática e rede de dados.</w:t>
      </w:r>
    </w:p>
    <w:p w14:paraId="21B9C0BC" w14:textId="77777777" w:rsidR="00431648" w:rsidRDefault="00431648">
      <w:pPr>
        <w:pStyle w:val="SemEspaamento"/>
        <w:spacing w:line="360" w:lineRule="auto"/>
        <w:jc w:val="both"/>
        <w:rPr>
          <w:rFonts w:ascii="Times New Roman" w:hAnsi="Times New Roman" w:cs="Times New Roman"/>
          <w:lang w:val="pt-BR"/>
        </w:rPr>
      </w:pPr>
    </w:p>
    <w:tbl>
      <w:tblPr>
        <w:tblStyle w:val="TabeladeGradeClara1"/>
        <w:tblW w:w="10366" w:type="dxa"/>
        <w:tblLayout w:type="fixed"/>
        <w:tblLook w:val="04A0" w:firstRow="1" w:lastRow="0" w:firstColumn="1" w:lastColumn="0" w:noHBand="0" w:noVBand="1"/>
      </w:tblPr>
      <w:tblGrid>
        <w:gridCol w:w="10366"/>
      </w:tblGrid>
      <w:tr w:rsidR="00431648" w14:paraId="21B9C0BE" w14:textId="77777777">
        <w:trPr>
          <w:trHeight w:val="367"/>
        </w:trPr>
        <w:tc>
          <w:tcPr>
            <w:tcW w:w="10366" w:type="dxa"/>
            <w:shd w:val="clear" w:color="auto" w:fill="D0CECE" w:themeFill="background2" w:themeFillShade="E6"/>
            <w:vAlign w:val="center"/>
          </w:tcPr>
          <w:p w14:paraId="21B9C0BD" w14:textId="77777777" w:rsidR="00431648" w:rsidRDefault="00000000">
            <w:pPr>
              <w:pStyle w:val="Ttulo"/>
              <w:spacing w:line="360" w:lineRule="auto"/>
              <w:jc w:val="both"/>
              <w:rPr>
                <w:rFonts w:ascii="Times New Roman" w:hAnsi="Times New Roman" w:cs="Times New Roman"/>
              </w:rPr>
            </w:pPr>
            <w:bookmarkStart w:id="13" w:name="_Toc194397109"/>
            <w:r>
              <w:rPr>
                <w:rFonts w:ascii="Times New Roman" w:hAnsi="Times New Roman" w:cs="Times New Roman"/>
              </w:rPr>
              <w:t>13. DESCRIÇÃO DE POSSÍVEIS IMPACTOS AMBIENTAIS (art. 18º, §1º, INCISO “XII”)</w:t>
            </w:r>
            <w:bookmarkEnd w:id="13"/>
          </w:p>
        </w:tc>
      </w:tr>
    </w:tbl>
    <w:p w14:paraId="21B9C0BF" w14:textId="77777777" w:rsidR="00431648" w:rsidRDefault="00431648">
      <w:pPr>
        <w:pStyle w:val="SemEspaamento"/>
        <w:spacing w:line="360" w:lineRule="auto"/>
        <w:jc w:val="both"/>
        <w:rPr>
          <w:rFonts w:ascii="Times New Roman" w:hAnsi="Times New Roman" w:cs="Times New Roman"/>
          <w:lang w:val="pt-BR"/>
        </w:rPr>
      </w:pPr>
    </w:p>
    <w:p w14:paraId="21B9C0C0"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descrição de possíveis impactos ambientais e respectivas medidas mitigadoras, incluídos requisitos de baixo consumo de energia e de outros recursos, bem como logística reversa para desfazimento e reciclagem de bens e refugos, quando aplicável; (inciso XI do § 1° do art. 18 da Lei 14.133/21 e Seção VI do Decreto Municipal 11.685/2023).</w:t>
      </w:r>
    </w:p>
    <w:p w14:paraId="21B9C0C1" w14:textId="77777777" w:rsidR="00431648" w:rsidRDefault="00431648">
      <w:pPr>
        <w:pStyle w:val="SemEspaamento"/>
        <w:spacing w:line="360" w:lineRule="auto"/>
        <w:jc w:val="both"/>
        <w:rPr>
          <w:rFonts w:ascii="Times New Roman" w:hAnsi="Times New Roman" w:cs="Times New Roman"/>
          <w:lang w:val="pt-BR"/>
        </w:rPr>
      </w:pPr>
    </w:p>
    <w:p w14:paraId="743EDCCA" w14:textId="77777777" w:rsidR="00BC1D8A" w:rsidRPr="00BC1D8A" w:rsidRDefault="00BC1D8A" w:rsidP="00BC1D8A">
      <w:pPr>
        <w:pStyle w:val="SemEspaamento"/>
        <w:spacing w:line="360" w:lineRule="auto"/>
        <w:ind w:firstLine="720"/>
        <w:jc w:val="both"/>
        <w:rPr>
          <w:rFonts w:ascii="Times New Roman" w:hAnsi="Times New Roman" w:cs="Times New Roman"/>
        </w:rPr>
      </w:pPr>
      <w:r w:rsidRPr="00BC1D8A">
        <w:rPr>
          <w:rFonts w:ascii="Times New Roman" w:hAnsi="Times New Roman" w:cs="Times New Roman"/>
        </w:rPr>
        <w:t>A execução da Reforma da Cobertura do Hospital Municipal Cristyan Mary da Silveira e Lima poderá ocasionar impactos ambientais típicos de obras de reforma e manutenção predial, sobretudo no que se refere à geração de resíduos da construção civil, emissão de poeira, ruídos decorrentes da utilização de equipamentos e consumo de recursos naturais como água e energia elétrica.</w:t>
      </w:r>
    </w:p>
    <w:p w14:paraId="2AA93A21" w14:textId="77777777" w:rsidR="00BC1D8A" w:rsidRPr="00BC1D8A" w:rsidRDefault="00BC1D8A" w:rsidP="00BC1D8A">
      <w:pPr>
        <w:pStyle w:val="SemEspaamento"/>
        <w:spacing w:line="360" w:lineRule="auto"/>
        <w:ind w:firstLine="720"/>
        <w:jc w:val="both"/>
        <w:rPr>
          <w:rFonts w:ascii="Times New Roman" w:hAnsi="Times New Roman" w:cs="Times New Roman"/>
        </w:rPr>
      </w:pPr>
      <w:r w:rsidRPr="00BC1D8A">
        <w:rPr>
          <w:rFonts w:ascii="Times New Roman" w:hAnsi="Times New Roman" w:cs="Times New Roman"/>
        </w:rPr>
        <w:t>Entretanto, tais impactos são considerados de baixa complexidade, previsíveis e mitigáveis, desde que sejam adotadas medidas preventivas e corretivas durante a execução da obra, tais como:</w:t>
      </w:r>
    </w:p>
    <w:p w14:paraId="3927CA7F" w14:textId="3E5CFA2D" w:rsidR="00BC1D8A" w:rsidRPr="00BC1D8A" w:rsidRDefault="00BC1D8A" w:rsidP="00BC1D8A">
      <w:pPr>
        <w:pStyle w:val="SemEspaamento"/>
        <w:numPr>
          <w:ilvl w:val="0"/>
          <w:numId w:val="10"/>
        </w:numPr>
        <w:spacing w:line="360" w:lineRule="auto"/>
        <w:jc w:val="both"/>
        <w:rPr>
          <w:rFonts w:ascii="Times New Roman" w:hAnsi="Times New Roman" w:cs="Times New Roman"/>
        </w:rPr>
      </w:pPr>
      <w:r w:rsidRPr="00BC1D8A">
        <w:rPr>
          <w:rFonts w:ascii="Times New Roman" w:hAnsi="Times New Roman" w:cs="Times New Roman"/>
        </w:rPr>
        <w:t>Destinação adequada dos resíduos sólidos conforme normas ambientais vigentes;</w:t>
      </w:r>
    </w:p>
    <w:p w14:paraId="4690410E" w14:textId="7885E570" w:rsidR="00BC1D8A" w:rsidRPr="00BC1D8A" w:rsidRDefault="00BC1D8A" w:rsidP="00BC1D8A">
      <w:pPr>
        <w:pStyle w:val="SemEspaamento"/>
        <w:numPr>
          <w:ilvl w:val="0"/>
          <w:numId w:val="10"/>
        </w:numPr>
        <w:spacing w:line="360" w:lineRule="auto"/>
        <w:jc w:val="both"/>
        <w:rPr>
          <w:rFonts w:ascii="Times New Roman" w:hAnsi="Times New Roman" w:cs="Times New Roman"/>
        </w:rPr>
      </w:pPr>
      <w:r w:rsidRPr="00BC1D8A">
        <w:rPr>
          <w:rFonts w:ascii="Times New Roman" w:hAnsi="Times New Roman" w:cs="Times New Roman"/>
        </w:rPr>
        <w:t>Controle da emissão de partículas e poeira durante os serviços de remoção, corte e instalação de materiais;</w:t>
      </w:r>
    </w:p>
    <w:p w14:paraId="271C848A" w14:textId="35FC7BEC" w:rsidR="00BC1D8A" w:rsidRPr="00BC1D8A" w:rsidRDefault="00BC1D8A" w:rsidP="00BC1D8A">
      <w:pPr>
        <w:pStyle w:val="SemEspaamento"/>
        <w:numPr>
          <w:ilvl w:val="0"/>
          <w:numId w:val="10"/>
        </w:numPr>
        <w:spacing w:line="360" w:lineRule="auto"/>
        <w:jc w:val="both"/>
        <w:rPr>
          <w:rFonts w:ascii="Times New Roman" w:hAnsi="Times New Roman" w:cs="Times New Roman"/>
        </w:rPr>
      </w:pPr>
      <w:r w:rsidRPr="00BC1D8A">
        <w:rPr>
          <w:rFonts w:ascii="Times New Roman" w:hAnsi="Times New Roman" w:cs="Times New Roman"/>
        </w:rPr>
        <w:t>Uso racional de água e energia durante a execução dos serviços;</w:t>
      </w:r>
    </w:p>
    <w:p w14:paraId="0C155C6E" w14:textId="318096B9" w:rsidR="00BC1D8A" w:rsidRPr="00BC1D8A" w:rsidRDefault="00BC1D8A" w:rsidP="00BC1D8A">
      <w:pPr>
        <w:pStyle w:val="SemEspaamento"/>
        <w:numPr>
          <w:ilvl w:val="0"/>
          <w:numId w:val="10"/>
        </w:numPr>
        <w:spacing w:line="360" w:lineRule="auto"/>
        <w:jc w:val="both"/>
        <w:rPr>
          <w:rFonts w:ascii="Times New Roman" w:hAnsi="Times New Roman" w:cs="Times New Roman"/>
        </w:rPr>
      </w:pPr>
      <w:r w:rsidRPr="00BC1D8A">
        <w:rPr>
          <w:rFonts w:ascii="Times New Roman" w:hAnsi="Times New Roman" w:cs="Times New Roman"/>
        </w:rPr>
        <w:t>Redução da poluição sonora mediante a utilização de equipamentos em conformidade com os padrões definidos pela legislação ambiental;</w:t>
      </w:r>
    </w:p>
    <w:p w14:paraId="2A87A794" w14:textId="353DABF0" w:rsidR="00BC1D8A" w:rsidRPr="00BC1D8A" w:rsidRDefault="00BC1D8A" w:rsidP="00BC1D8A">
      <w:pPr>
        <w:pStyle w:val="SemEspaamento"/>
        <w:numPr>
          <w:ilvl w:val="0"/>
          <w:numId w:val="10"/>
        </w:numPr>
        <w:spacing w:line="360" w:lineRule="auto"/>
        <w:jc w:val="both"/>
        <w:rPr>
          <w:rFonts w:ascii="Times New Roman" w:hAnsi="Times New Roman" w:cs="Times New Roman"/>
        </w:rPr>
      </w:pPr>
      <w:r w:rsidRPr="00BC1D8A">
        <w:rPr>
          <w:rFonts w:ascii="Times New Roman" w:hAnsi="Times New Roman" w:cs="Times New Roman"/>
        </w:rPr>
        <w:t>Adoção de medidas para evitar o lançamento inadequado de resíduos, materiais e efluentes nas áreas internas e externas da unidade hospitalar;</w:t>
      </w:r>
    </w:p>
    <w:p w14:paraId="31349469" w14:textId="22FBBF6B" w:rsidR="00BC1D8A" w:rsidRPr="00BC1D8A" w:rsidRDefault="00BC1D8A" w:rsidP="00BC1D8A">
      <w:pPr>
        <w:pStyle w:val="SemEspaamento"/>
        <w:numPr>
          <w:ilvl w:val="0"/>
          <w:numId w:val="10"/>
        </w:numPr>
        <w:spacing w:line="360" w:lineRule="auto"/>
        <w:jc w:val="both"/>
        <w:rPr>
          <w:rFonts w:ascii="Times New Roman" w:hAnsi="Times New Roman" w:cs="Times New Roman"/>
        </w:rPr>
      </w:pPr>
      <w:r w:rsidRPr="00BC1D8A">
        <w:rPr>
          <w:rFonts w:ascii="Times New Roman" w:hAnsi="Times New Roman" w:cs="Times New Roman"/>
        </w:rPr>
        <w:t>Proteção dos ambientes em funcionamento, minimizando impactos às atividades desenvolvidas na unidade de saúde durante a execução da intervenção.</w:t>
      </w:r>
    </w:p>
    <w:p w14:paraId="492E4A19" w14:textId="77777777" w:rsidR="00BC1D8A" w:rsidRPr="00BC1D8A" w:rsidRDefault="00BC1D8A" w:rsidP="00BC1D8A">
      <w:pPr>
        <w:pStyle w:val="SemEspaamento"/>
        <w:spacing w:line="360" w:lineRule="auto"/>
        <w:ind w:firstLine="720"/>
        <w:jc w:val="both"/>
        <w:rPr>
          <w:rFonts w:ascii="Times New Roman" w:hAnsi="Times New Roman" w:cs="Times New Roman"/>
        </w:rPr>
      </w:pPr>
      <w:r w:rsidRPr="00BC1D8A">
        <w:rPr>
          <w:rFonts w:ascii="Times New Roman" w:hAnsi="Times New Roman" w:cs="Times New Roman"/>
        </w:rPr>
        <w:lastRenderedPageBreak/>
        <w:t>A contratada deverá observar as normas técnicas da ABNT, as diretrizes da Política Nacional do Meio Ambiente (Lei nº 6.938/1981), as Resoluções do CONAMA e demais legislações ambientais aplicáveis. A fiscalização ambiental será realizada pela Administração Pública, assegurando a conformidade das ações com os padrões sustentáveis exigidos.</w:t>
      </w:r>
    </w:p>
    <w:p w14:paraId="0FDD85A4" w14:textId="77777777" w:rsidR="00BC1D8A" w:rsidRPr="00BC1D8A" w:rsidRDefault="00BC1D8A" w:rsidP="00BC1D8A">
      <w:pPr>
        <w:pStyle w:val="SemEspaamento"/>
        <w:spacing w:line="360" w:lineRule="auto"/>
        <w:ind w:firstLine="720"/>
        <w:jc w:val="both"/>
        <w:rPr>
          <w:rFonts w:ascii="Times New Roman" w:hAnsi="Times New Roman" w:cs="Times New Roman"/>
        </w:rPr>
      </w:pPr>
      <w:r w:rsidRPr="00BC1D8A">
        <w:rPr>
          <w:rFonts w:ascii="Times New Roman" w:hAnsi="Times New Roman" w:cs="Times New Roman"/>
        </w:rPr>
        <w:t>A contratada deverá ter pleno conhecimento e se responsabilizar pelo trabalho seguro das pessoas envolvidas na execução dos serviços, especialmente aqueles realizados em altura, no manuseio de ferramentas, equipamentos e materiais, observando integralmente a legislação vigente do Ministério do Trabalho, em especial as Normas Regulamentadoras aplicáveis. Deverá, ainda, adotar práticas de segurança do trabalho e meio ambiente que minimizem riscos ocupacionais e impactos negativos ao meio ambiente.</w:t>
      </w:r>
    </w:p>
    <w:p w14:paraId="405C8EEA" w14:textId="77777777" w:rsidR="00BC1D8A" w:rsidRPr="00BC1D8A" w:rsidRDefault="00BC1D8A" w:rsidP="00BC1D8A">
      <w:pPr>
        <w:pStyle w:val="SemEspaamento"/>
        <w:spacing w:line="360" w:lineRule="auto"/>
        <w:ind w:firstLine="720"/>
        <w:jc w:val="both"/>
        <w:rPr>
          <w:rFonts w:ascii="Times New Roman" w:hAnsi="Times New Roman" w:cs="Times New Roman"/>
        </w:rPr>
      </w:pPr>
      <w:r w:rsidRPr="00BC1D8A">
        <w:rPr>
          <w:rFonts w:ascii="Times New Roman" w:hAnsi="Times New Roman" w:cs="Times New Roman"/>
        </w:rPr>
        <w:t>Além disso, a contratada será integralmente responsável por quaisquer ações e/ou omissões relativas ao manejo de resíduos e rejeitos sólidos, líquidos ou derivados, nos locais da obra, sendo obrigada a removê-los e garantir sua destinação ambientalmente adequada, conforme a legislação pertinente.</w:t>
      </w:r>
    </w:p>
    <w:p w14:paraId="39E37289" w14:textId="77777777" w:rsidR="00BC1D8A" w:rsidRPr="00BC1D8A" w:rsidRDefault="00BC1D8A" w:rsidP="00BC1D8A">
      <w:pPr>
        <w:pStyle w:val="SemEspaamento"/>
        <w:spacing w:line="360" w:lineRule="auto"/>
        <w:ind w:firstLine="720"/>
        <w:jc w:val="both"/>
        <w:rPr>
          <w:rFonts w:ascii="Times New Roman" w:hAnsi="Times New Roman" w:cs="Times New Roman"/>
        </w:rPr>
      </w:pPr>
      <w:r w:rsidRPr="00BC1D8A">
        <w:rPr>
          <w:rFonts w:ascii="Times New Roman" w:hAnsi="Times New Roman" w:cs="Times New Roman"/>
        </w:rPr>
        <w:t>A fiscalização ambiental será realizada pela Administração Pública Municipal, assegurando a conformidade das ações com os padrões sustentáveis exigidos.</w:t>
      </w:r>
    </w:p>
    <w:p w14:paraId="21B9C0CD" w14:textId="77777777" w:rsidR="00431648" w:rsidRPr="00BC1D8A" w:rsidRDefault="00431648">
      <w:pPr>
        <w:pStyle w:val="SemEspaamento"/>
        <w:spacing w:line="360" w:lineRule="auto"/>
        <w:ind w:firstLine="720"/>
        <w:jc w:val="both"/>
        <w:rPr>
          <w:rFonts w:ascii="Times New Roman" w:hAnsi="Times New Roman" w:cs="Times New Roman"/>
        </w:rPr>
      </w:pPr>
    </w:p>
    <w:tbl>
      <w:tblPr>
        <w:tblStyle w:val="TabeladeGradeClara1"/>
        <w:tblW w:w="10366" w:type="dxa"/>
        <w:tblLayout w:type="fixed"/>
        <w:tblLook w:val="04A0" w:firstRow="1" w:lastRow="0" w:firstColumn="1" w:lastColumn="0" w:noHBand="0" w:noVBand="1"/>
      </w:tblPr>
      <w:tblGrid>
        <w:gridCol w:w="10366"/>
      </w:tblGrid>
      <w:tr w:rsidR="00431648" w14:paraId="21B9C0CF" w14:textId="77777777">
        <w:trPr>
          <w:trHeight w:val="367"/>
        </w:trPr>
        <w:tc>
          <w:tcPr>
            <w:tcW w:w="10366" w:type="dxa"/>
            <w:shd w:val="clear" w:color="auto" w:fill="D0CECE" w:themeFill="background2" w:themeFillShade="E6"/>
            <w:vAlign w:val="center"/>
          </w:tcPr>
          <w:p w14:paraId="21B9C0CE" w14:textId="77777777" w:rsidR="00431648" w:rsidRDefault="00000000">
            <w:pPr>
              <w:pStyle w:val="Ttulo"/>
              <w:spacing w:line="360" w:lineRule="auto"/>
              <w:jc w:val="both"/>
              <w:rPr>
                <w:rFonts w:ascii="Times New Roman" w:hAnsi="Times New Roman" w:cs="Times New Roman"/>
              </w:rPr>
            </w:pPr>
            <w:bookmarkStart w:id="14" w:name="_Toc194397110"/>
            <w:r>
              <w:rPr>
                <w:rFonts w:ascii="Times New Roman" w:hAnsi="Times New Roman" w:cs="Times New Roman"/>
              </w:rPr>
              <w:t>14. POSICIONAMENTO CONCLUSIVO SOBRE A VIABILIDADE DA CONTRATAÇÃO (art. 18º, §1º, INCISO “XIII”)</w:t>
            </w:r>
            <w:bookmarkEnd w:id="14"/>
          </w:p>
        </w:tc>
      </w:tr>
    </w:tbl>
    <w:p w14:paraId="21B9C0D0" w14:textId="77777777" w:rsidR="00431648" w:rsidRDefault="00431648">
      <w:pPr>
        <w:pStyle w:val="SemEspaamento"/>
        <w:spacing w:line="360" w:lineRule="auto"/>
        <w:jc w:val="both"/>
        <w:rPr>
          <w:rFonts w:ascii="Times New Roman" w:hAnsi="Times New Roman" w:cs="Times New Roman"/>
          <w:lang w:val="pt-BR"/>
        </w:rPr>
      </w:pPr>
    </w:p>
    <w:p w14:paraId="21B9C0D1" w14:textId="77777777" w:rsidR="00431648" w:rsidRDefault="00000000">
      <w:pPr>
        <w:spacing w:line="360" w:lineRule="auto"/>
        <w:ind w:left="2835" w:right="-1"/>
        <w:jc w:val="both"/>
        <w:rPr>
          <w:rFonts w:ascii="Times New Roman" w:hAnsi="Times New Roman" w:cs="Times New Roman"/>
          <w:sz w:val="18"/>
          <w:szCs w:val="14"/>
        </w:rPr>
      </w:pPr>
      <w:r>
        <w:rPr>
          <w:rFonts w:ascii="Times New Roman" w:hAnsi="Times New Roman" w:cs="Times New Roman"/>
          <w:b/>
          <w:bCs/>
          <w:sz w:val="18"/>
          <w:szCs w:val="14"/>
        </w:rPr>
        <w:t>Fundamentação:</w:t>
      </w:r>
      <w:r>
        <w:rPr>
          <w:rFonts w:ascii="Times New Roman" w:hAnsi="Times New Roman" w:cs="Times New Roman"/>
          <w:sz w:val="18"/>
          <w:szCs w:val="14"/>
        </w:rPr>
        <w:t xml:space="preserve">  posicionamento conclusivo sobre a adequação da contratação para o atendimento da necessidade a que se destina.; (inciso XI do § 1° do art. 18 da Lei 14.133/21 e Seção VI do Decreto Municipal 11.685/2023).</w:t>
      </w:r>
    </w:p>
    <w:p w14:paraId="24724856" w14:textId="77777777" w:rsidR="00BC1D8A" w:rsidRPr="00BC1D8A" w:rsidRDefault="00000000" w:rsidP="00BC1D8A">
      <w:pPr>
        <w:pStyle w:val="SemEspaamento"/>
        <w:spacing w:line="360" w:lineRule="auto"/>
        <w:jc w:val="both"/>
        <w:rPr>
          <w:rFonts w:ascii="Times New Roman" w:hAnsi="Times New Roman" w:cs="Times New Roman"/>
          <w:lang w:val="pt-BR"/>
        </w:rPr>
      </w:pPr>
      <w:r>
        <w:rPr>
          <w:rFonts w:ascii="Times New Roman" w:hAnsi="Times New Roman" w:cs="Times New Roman"/>
          <w:lang w:val="pt-BR"/>
        </w:rPr>
        <w:tab/>
      </w:r>
      <w:r w:rsidR="00BC1D8A" w:rsidRPr="00BC1D8A">
        <w:rPr>
          <w:rFonts w:ascii="Times New Roman" w:hAnsi="Times New Roman" w:cs="Times New Roman"/>
          <w:lang w:val="pt-BR"/>
        </w:rPr>
        <w:t xml:space="preserve">A partir das análises desenvolvidas neste Estudo Técnico Preliminar, verifica-se que a contratação para a execução da Reforma da Cobertura do Hospital Municipal </w:t>
      </w:r>
      <w:proofErr w:type="spellStart"/>
      <w:r w:rsidR="00BC1D8A" w:rsidRPr="00BC1D8A">
        <w:rPr>
          <w:rFonts w:ascii="Times New Roman" w:hAnsi="Times New Roman" w:cs="Times New Roman"/>
          <w:lang w:val="pt-BR"/>
        </w:rPr>
        <w:t>Cristyan</w:t>
      </w:r>
      <w:proofErr w:type="spellEnd"/>
      <w:r w:rsidR="00BC1D8A" w:rsidRPr="00BC1D8A">
        <w:rPr>
          <w:rFonts w:ascii="Times New Roman" w:hAnsi="Times New Roman" w:cs="Times New Roman"/>
          <w:lang w:val="pt-BR"/>
        </w:rPr>
        <w:t xml:space="preserve"> Mary da Silveira e Lima é plenamente viável, estratégica e justificada diante das necessidades identificadas na infraestrutura física da unidade hospitalar.</w:t>
      </w:r>
    </w:p>
    <w:p w14:paraId="4F4DD040" w14:textId="77777777" w:rsidR="00BC1D8A" w:rsidRPr="00BC1D8A" w:rsidRDefault="00BC1D8A" w:rsidP="00BC1D8A">
      <w:pPr>
        <w:pStyle w:val="SemEspaamento"/>
        <w:spacing w:line="360" w:lineRule="auto"/>
        <w:ind w:firstLine="720"/>
        <w:jc w:val="both"/>
        <w:rPr>
          <w:rFonts w:ascii="Times New Roman" w:hAnsi="Times New Roman" w:cs="Times New Roman"/>
          <w:lang w:val="pt-BR"/>
        </w:rPr>
      </w:pPr>
      <w:r w:rsidRPr="00BC1D8A">
        <w:rPr>
          <w:rFonts w:ascii="Times New Roman" w:hAnsi="Times New Roman" w:cs="Times New Roman"/>
          <w:lang w:val="pt-BR"/>
        </w:rPr>
        <w:t>A proposta atende à necessidade de recuperação das condições adequadas de segurança, estanqueidade e funcionalidade da edificação, apresentando-se como solução eficiente para a eliminação de infiltrações, preservação dos ambientes internos e proteção do patrimônio público destinado à prestação dos serviços de saúde.</w:t>
      </w:r>
    </w:p>
    <w:p w14:paraId="773B0C40" w14:textId="77777777" w:rsidR="00BC1D8A" w:rsidRPr="00BC1D8A" w:rsidRDefault="00BC1D8A" w:rsidP="00BC1D8A">
      <w:pPr>
        <w:pStyle w:val="SemEspaamento"/>
        <w:spacing w:line="360" w:lineRule="auto"/>
        <w:ind w:firstLine="720"/>
        <w:jc w:val="both"/>
        <w:rPr>
          <w:rFonts w:ascii="Times New Roman" w:hAnsi="Times New Roman" w:cs="Times New Roman"/>
          <w:lang w:val="pt-BR"/>
        </w:rPr>
      </w:pPr>
      <w:r w:rsidRPr="00BC1D8A">
        <w:rPr>
          <w:rFonts w:ascii="Times New Roman" w:hAnsi="Times New Roman" w:cs="Times New Roman"/>
          <w:lang w:val="pt-BR"/>
        </w:rPr>
        <w:t>A definição do escopo da intervenção, a existência de projetos e documentos técnicos específicos e a adoção da empreitada por preço unitário como regime de execução proporcionam maior controle da contratação, adequada gestão dos quantitativos executados e eficiência na aplicação dos recursos públicos, contribuindo para a qualidade dos serviços a serem realizados.</w:t>
      </w:r>
    </w:p>
    <w:p w14:paraId="2F51EDC2" w14:textId="50D51AEC" w:rsidR="00BC1D8A" w:rsidRPr="00BC1D8A" w:rsidRDefault="00BC1D8A" w:rsidP="00BC1D8A">
      <w:pPr>
        <w:pStyle w:val="SemEspaamento"/>
        <w:spacing w:line="360" w:lineRule="auto"/>
        <w:ind w:firstLine="720"/>
        <w:jc w:val="both"/>
        <w:rPr>
          <w:rFonts w:ascii="Times New Roman" w:hAnsi="Times New Roman" w:cs="Times New Roman"/>
          <w:lang w:val="pt-BR"/>
        </w:rPr>
      </w:pPr>
      <w:r w:rsidRPr="00BC1D8A">
        <w:rPr>
          <w:rFonts w:ascii="Times New Roman" w:hAnsi="Times New Roman" w:cs="Times New Roman"/>
          <w:lang w:val="pt-BR"/>
        </w:rPr>
        <w:t xml:space="preserve">O valor estimado da obra, de R$ </w:t>
      </w:r>
      <w:r w:rsidR="0072319F" w:rsidRPr="0072319F">
        <w:rPr>
          <w:rFonts w:ascii="Times New Roman" w:hAnsi="Times New Roman" w:cs="Times New Roman"/>
          <w:lang w:val="pt-BR"/>
        </w:rPr>
        <w:t>R$ 791.392,64</w:t>
      </w:r>
      <w:r w:rsidRPr="00BC1D8A">
        <w:rPr>
          <w:rFonts w:ascii="Times New Roman" w:hAnsi="Times New Roman" w:cs="Times New Roman"/>
          <w:lang w:val="pt-BR"/>
        </w:rPr>
        <w:t xml:space="preserve">, poderá ser ajustado conforme as atualizações orçamentárias e as condições efetivamente verificadas nos documentos técnicos que compõem o processo, assegurando </w:t>
      </w:r>
      <w:r w:rsidRPr="00BC1D8A">
        <w:rPr>
          <w:rFonts w:ascii="Times New Roman" w:hAnsi="Times New Roman" w:cs="Times New Roman"/>
          <w:lang w:val="pt-BR"/>
        </w:rPr>
        <w:lastRenderedPageBreak/>
        <w:t>compatibilidade entre os custos da contratação e os benefícios esperados para a Administração Pública.</w:t>
      </w:r>
    </w:p>
    <w:p w14:paraId="751B04B7" w14:textId="77777777" w:rsidR="00BC1D8A" w:rsidRPr="00BC1D8A" w:rsidRDefault="00BC1D8A" w:rsidP="00BC1D8A">
      <w:pPr>
        <w:pStyle w:val="SemEspaamento"/>
        <w:spacing w:line="360" w:lineRule="auto"/>
        <w:ind w:firstLine="720"/>
        <w:jc w:val="both"/>
        <w:rPr>
          <w:rFonts w:ascii="Times New Roman" w:hAnsi="Times New Roman" w:cs="Times New Roman"/>
          <w:lang w:val="pt-BR"/>
        </w:rPr>
      </w:pPr>
      <w:r w:rsidRPr="00BC1D8A">
        <w:rPr>
          <w:rFonts w:ascii="Times New Roman" w:hAnsi="Times New Roman" w:cs="Times New Roman"/>
          <w:lang w:val="pt-BR"/>
        </w:rPr>
        <w:t>Diante do exposto, recomenda-se a continuidade do processo administrativo com vistas à formalização da contratação, por meio de licitação na modalidade Concorrência, conforme art. 28, inciso II, da Lei nº 14.133/2021, garantindo ampla participação, isonomia entre os concorrentes e a seleção da proposta mais vantajosa para o interesse público.</w:t>
      </w:r>
    </w:p>
    <w:p w14:paraId="21B9C0DC" w14:textId="77777777" w:rsidR="00431648" w:rsidRDefault="00431648">
      <w:pPr>
        <w:pStyle w:val="SemEspaamento"/>
        <w:spacing w:line="360" w:lineRule="auto"/>
        <w:jc w:val="both"/>
        <w:rPr>
          <w:rFonts w:ascii="Times New Roman" w:hAnsi="Times New Roman" w:cs="Times New Roman"/>
          <w:lang w:val="pt-BR"/>
        </w:rPr>
      </w:pPr>
    </w:p>
    <w:p w14:paraId="21B9C0DD" w14:textId="77777777" w:rsidR="00431648" w:rsidRDefault="00431648">
      <w:pPr>
        <w:pStyle w:val="SemEspaamento"/>
        <w:spacing w:line="360" w:lineRule="auto"/>
        <w:jc w:val="both"/>
        <w:rPr>
          <w:rFonts w:ascii="Times New Roman" w:hAnsi="Times New Roman" w:cs="Times New Roman"/>
          <w:lang w:val="pt-BR"/>
        </w:rPr>
      </w:pPr>
    </w:p>
    <w:p w14:paraId="21B9C0DE" w14:textId="17414D32" w:rsidR="00431648" w:rsidRDefault="00000000">
      <w:pPr>
        <w:pStyle w:val="SemEspaamento"/>
        <w:spacing w:line="360" w:lineRule="auto"/>
        <w:jc w:val="right"/>
        <w:rPr>
          <w:rFonts w:ascii="Times New Roman" w:hAnsi="Times New Roman" w:cs="Times New Roman"/>
          <w:lang w:val="pt-BR"/>
        </w:rPr>
      </w:pPr>
      <w:r>
        <w:rPr>
          <w:rFonts w:ascii="Times New Roman" w:hAnsi="Times New Roman" w:cs="Times New Roman"/>
          <w:lang w:val="pt-BR"/>
        </w:rPr>
        <w:t>Rondonópolis, 2</w:t>
      </w:r>
      <w:r w:rsidR="00BC1D8A">
        <w:rPr>
          <w:rFonts w:ascii="Times New Roman" w:hAnsi="Times New Roman" w:cs="Times New Roman"/>
          <w:lang w:val="pt-BR"/>
        </w:rPr>
        <w:t xml:space="preserve">5 </w:t>
      </w:r>
      <w:r>
        <w:rPr>
          <w:rFonts w:ascii="Times New Roman" w:hAnsi="Times New Roman" w:cs="Times New Roman"/>
          <w:lang w:val="pt-BR"/>
        </w:rPr>
        <w:t xml:space="preserve">de </w:t>
      </w:r>
      <w:r w:rsidR="00BC1D8A">
        <w:rPr>
          <w:rFonts w:ascii="Times New Roman" w:hAnsi="Times New Roman" w:cs="Times New Roman"/>
          <w:lang w:val="pt-BR"/>
        </w:rPr>
        <w:t>maio</w:t>
      </w:r>
      <w:r w:rsidR="0072319F">
        <w:rPr>
          <w:rFonts w:ascii="Times New Roman" w:hAnsi="Times New Roman" w:cs="Times New Roman"/>
          <w:lang w:val="pt-BR"/>
        </w:rPr>
        <w:t xml:space="preserve"> </w:t>
      </w:r>
      <w:r>
        <w:rPr>
          <w:rFonts w:ascii="Times New Roman" w:hAnsi="Times New Roman" w:cs="Times New Roman"/>
          <w:lang w:val="pt-BR"/>
        </w:rPr>
        <w:t>de 202</w:t>
      </w:r>
      <w:r w:rsidR="00BC1D8A">
        <w:rPr>
          <w:rFonts w:ascii="Times New Roman" w:hAnsi="Times New Roman" w:cs="Times New Roman"/>
          <w:lang w:val="pt-BR"/>
        </w:rPr>
        <w:t>6</w:t>
      </w:r>
      <w:r>
        <w:rPr>
          <w:rFonts w:ascii="Times New Roman" w:hAnsi="Times New Roman" w:cs="Times New Roman"/>
          <w:lang w:val="pt-BR"/>
        </w:rPr>
        <w:t>.</w:t>
      </w:r>
    </w:p>
    <w:p w14:paraId="21B9C0DF" w14:textId="77777777" w:rsidR="00431648" w:rsidRDefault="00431648">
      <w:pPr>
        <w:pStyle w:val="SemEspaamento"/>
        <w:spacing w:line="360" w:lineRule="auto"/>
        <w:jc w:val="right"/>
        <w:rPr>
          <w:rFonts w:ascii="Times New Roman" w:hAnsi="Times New Roman" w:cs="Times New Roman"/>
          <w:lang w:val="pt-BR"/>
        </w:rPr>
      </w:pPr>
    </w:p>
    <w:p w14:paraId="21B9C0E0" w14:textId="77777777" w:rsidR="00431648" w:rsidRDefault="00431648">
      <w:pPr>
        <w:pStyle w:val="SemEspaamento"/>
        <w:spacing w:line="360" w:lineRule="auto"/>
        <w:jc w:val="right"/>
        <w:rPr>
          <w:rFonts w:ascii="Times New Roman" w:hAnsi="Times New Roman" w:cs="Times New Roman"/>
          <w:lang w:val="pt-BR"/>
        </w:rPr>
      </w:pPr>
    </w:p>
    <w:p w14:paraId="21B9C0E1" w14:textId="77777777" w:rsidR="00431648" w:rsidRDefault="00431648">
      <w:pPr>
        <w:pStyle w:val="SemEspaamento"/>
        <w:spacing w:line="360" w:lineRule="auto"/>
        <w:jc w:val="right"/>
        <w:rPr>
          <w:rFonts w:ascii="Times New Roman" w:hAnsi="Times New Roman" w:cs="Times New Roman"/>
          <w:lang w:val="pt-BR"/>
        </w:rPr>
      </w:pPr>
    </w:p>
    <w:p w14:paraId="21B9C0E2" w14:textId="77777777" w:rsidR="00431648" w:rsidRDefault="00431648">
      <w:pPr>
        <w:pStyle w:val="SemEspaamento"/>
        <w:spacing w:line="360" w:lineRule="auto"/>
        <w:jc w:val="right"/>
        <w:rPr>
          <w:rFonts w:ascii="Times New Roman" w:hAnsi="Times New Roman" w:cs="Times New Roman"/>
          <w:lang w:val="pt-BR"/>
        </w:rPr>
      </w:pPr>
    </w:p>
    <w:p w14:paraId="21B9C0E3" w14:textId="77777777" w:rsidR="00431648" w:rsidRDefault="00431648">
      <w:pPr>
        <w:pStyle w:val="SemEspaamento"/>
        <w:spacing w:line="360" w:lineRule="auto"/>
        <w:jc w:val="right"/>
        <w:rPr>
          <w:rFonts w:ascii="Times New Roman" w:hAnsi="Times New Roman" w:cs="Times New Roman"/>
          <w:lang w:val="pt-BR"/>
        </w:rPr>
      </w:pPr>
    </w:p>
    <w:p w14:paraId="21B9C0E4" w14:textId="77777777" w:rsidR="00431648" w:rsidRDefault="00000000">
      <w:pPr>
        <w:ind w:right="454"/>
        <w:jc w:val="center"/>
      </w:pPr>
      <w:r>
        <w:rPr>
          <w:rFonts w:ascii="Century Gothic" w:hAnsi="Century Gothic"/>
          <w:b/>
          <w:bCs/>
          <w:color w:val="000000"/>
          <w:lang w:eastAsia="zh-CN"/>
          <w14:shadow w14:blurRad="50800" w14:dist="38100" w14:dir="2700000" w14:sx="100000" w14:sy="100000" w14:kx="0" w14:ky="0" w14:algn="tl">
            <w14:srgbClr w14:val="000000">
              <w14:alpha w14:val="60000"/>
            </w14:srgbClr>
          </w14:shadow>
        </w:rPr>
        <w:t>Débora Betânia de Carvalho Santos</w:t>
      </w:r>
    </w:p>
    <w:p w14:paraId="21B9C0E5" w14:textId="77777777" w:rsidR="00431648" w:rsidRDefault="00000000">
      <w:pPr>
        <w:ind w:right="454"/>
        <w:jc w:val="center"/>
      </w:pPr>
      <w:r>
        <w:rPr>
          <w:rFonts w:ascii="Century Gothic" w:hAnsi="Century Gothic"/>
          <w:i/>
        </w:rPr>
        <w:t>Gerente de Departamento de Engenharia e Arquitetura - Saúde</w:t>
      </w:r>
    </w:p>
    <w:p w14:paraId="21B9C0E6" w14:textId="77777777" w:rsidR="00431648" w:rsidRDefault="00000000">
      <w:pPr>
        <w:pStyle w:val="Standard"/>
        <w:jc w:val="center"/>
        <w:rPr>
          <w:rFonts w:ascii="Century Gothic" w:eastAsiaTheme="minorHAnsi" w:hAnsi="Century Gothic" w:cstheme="minorBidi"/>
          <w:b/>
          <w:bCs/>
          <w:color w:val="000000"/>
          <w:kern w:val="0"/>
          <w:sz w:val="20"/>
          <w:szCs w:val="20"/>
          <w:lang w:val="pt-BR" w:eastAsia="en-US" w:bidi="ar-SA"/>
        </w:rPr>
      </w:pPr>
      <w:r>
        <w:rPr>
          <w:rFonts w:ascii="Century Gothic" w:eastAsiaTheme="minorHAnsi" w:hAnsi="Century Gothic" w:cstheme="minorBidi"/>
          <w:b/>
          <w:bCs/>
          <w:color w:val="000000"/>
          <w:kern w:val="0"/>
          <w:sz w:val="20"/>
          <w:szCs w:val="20"/>
          <w:lang w:val="pt-BR" w:eastAsia="en-US" w:bidi="ar-SA"/>
        </w:rPr>
        <w:t>Portaria nº 38.086/2025</w:t>
      </w:r>
    </w:p>
    <w:p w14:paraId="21B9C0E7" w14:textId="77777777" w:rsidR="00431648" w:rsidRDefault="00431648">
      <w:pPr>
        <w:pStyle w:val="SemEspaamento"/>
        <w:spacing w:line="360" w:lineRule="auto"/>
        <w:jc w:val="center"/>
        <w:rPr>
          <w:rFonts w:ascii="Times New Roman" w:hAnsi="Times New Roman" w:cs="Times New Roman"/>
          <w:lang w:val="pt-BR"/>
        </w:rPr>
      </w:pPr>
    </w:p>
    <w:p w14:paraId="21B9C0E8" w14:textId="77777777" w:rsidR="00431648" w:rsidRDefault="00431648">
      <w:pPr>
        <w:pStyle w:val="SemEspaamento"/>
        <w:spacing w:line="360" w:lineRule="auto"/>
        <w:jc w:val="center"/>
        <w:rPr>
          <w:rFonts w:ascii="Times New Roman" w:hAnsi="Times New Roman" w:cs="Times New Roman"/>
          <w:lang w:val="pt-BR"/>
        </w:rPr>
      </w:pPr>
    </w:p>
    <w:p w14:paraId="21B9C0E9" w14:textId="77777777" w:rsidR="00431648" w:rsidRDefault="00431648">
      <w:pPr>
        <w:pStyle w:val="SemEspaamento"/>
        <w:spacing w:line="360" w:lineRule="auto"/>
        <w:jc w:val="center"/>
        <w:rPr>
          <w:rFonts w:ascii="Times New Roman" w:hAnsi="Times New Roman" w:cs="Times New Roman"/>
          <w:lang w:val="pt-BR"/>
        </w:rPr>
      </w:pPr>
    </w:p>
    <w:p w14:paraId="21B9C0EA" w14:textId="77777777" w:rsidR="00431648" w:rsidRDefault="00431648">
      <w:pPr>
        <w:pStyle w:val="SemEspaamento"/>
        <w:spacing w:line="360" w:lineRule="auto"/>
        <w:jc w:val="center"/>
        <w:rPr>
          <w:rFonts w:ascii="Times New Roman" w:hAnsi="Times New Roman" w:cs="Times New Roman"/>
          <w:lang w:val="pt-BR"/>
        </w:rPr>
      </w:pPr>
    </w:p>
    <w:p w14:paraId="21B9C0EB" w14:textId="77777777" w:rsidR="00431648" w:rsidRDefault="00431648">
      <w:pPr>
        <w:pStyle w:val="SemEspaamento"/>
        <w:spacing w:line="360" w:lineRule="auto"/>
        <w:jc w:val="center"/>
        <w:rPr>
          <w:rFonts w:ascii="Times New Roman" w:hAnsi="Times New Roman" w:cs="Times New Roman"/>
          <w:lang w:val="pt-BR"/>
        </w:rPr>
      </w:pPr>
    </w:p>
    <w:p w14:paraId="21B9C0EC" w14:textId="77777777" w:rsidR="00431648" w:rsidRDefault="00431648">
      <w:pPr>
        <w:pStyle w:val="SemEspaamento"/>
        <w:spacing w:line="360" w:lineRule="auto"/>
        <w:rPr>
          <w:rFonts w:ascii="Times New Roman" w:hAnsi="Times New Roman" w:cs="Times New Roman"/>
          <w:lang w:val="pt-BR"/>
        </w:rPr>
      </w:pPr>
    </w:p>
    <w:p w14:paraId="21B9C0ED" w14:textId="77777777" w:rsidR="00431648" w:rsidRDefault="00431648">
      <w:pPr>
        <w:pStyle w:val="SemEspaamento"/>
        <w:spacing w:line="360" w:lineRule="auto"/>
        <w:rPr>
          <w:rFonts w:ascii="Times New Roman" w:hAnsi="Times New Roman" w:cs="Times New Roman"/>
          <w:lang w:val="pt-BR"/>
        </w:rPr>
      </w:pPr>
    </w:p>
    <w:sectPr w:rsidR="00431648">
      <w:headerReference w:type="even" r:id="rId13"/>
      <w:headerReference w:type="default" r:id="rId14"/>
      <w:footerReference w:type="even" r:id="rId15"/>
      <w:footerReference w:type="default" r:id="rId16"/>
      <w:headerReference w:type="first" r:id="rId17"/>
      <w:footerReference w:type="first" r:id="rId18"/>
      <w:pgSz w:w="11906" w:h="16838"/>
      <w:pgMar w:top="2609" w:right="765" w:bottom="720" w:left="765" w:header="2268" w:footer="510" w:gutter="0"/>
      <w:pgNumType w:start="1"/>
      <w:cols w:space="720"/>
      <w:formProt w:val="0"/>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E10172" w14:textId="77777777" w:rsidR="00B259FD" w:rsidRDefault="00B259FD">
      <w:r>
        <w:separator/>
      </w:r>
    </w:p>
  </w:endnote>
  <w:endnote w:type="continuationSeparator" w:id="0">
    <w:p w14:paraId="0FC38EB9" w14:textId="77777777" w:rsidR="00B259FD" w:rsidRDefault="00B25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Hei">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0"/>
    <w:family w:val="roman"/>
    <w:pitch w:val="default"/>
    <w:sig w:usb0="E0000AFF" w:usb1="500078FF" w:usb2="00000021" w:usb3="00000000" w:csb0="600001BF" w:csb1="DFF70000"/>
  </w:font>
  <w:font w:name="SimSun;宋体">
    <w:altName w:val="SimSun"/>
    <w:charset w:val="80"/>
    <w:family w:val="roman"/>
    <w:pitch w:val="default"/>
  </w:font>
  <w:font w:name="Mangal">
    <w:panose1 w:val="00000400000000000000"/>
    <w:charset w:val="00"/>
    <w:family w:val="roman"/>
    <w:pitch w:val="variable"/>
    <w:sig w:usb0="00008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4" w14:textId="77777777" w:rsidR="00431648" w:rsidRDefault="00431648">
    <w:pP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5" w14:textId="77777777" w:rsidR="00431648" w:rsidRDefault="00431648">
    <w:pPr>
      <w:spacing w:line="276" w:lineRule="auto"/>
      <w:rPr>
        <w:color w:val="000000"/>
      </w:rPr>
    </w:pPr>
  </w:p>
  <w:tbl>
    <w:tblPr>
      <w:tblW w:w="10456" w:type="dxa"/>
      <w:tblInd w:w="-108" w:type="dxa"/>
      <w:tblLayout w:type="fixed"/>
      <w:tblLook w:val="04A0" w:firstRow="1" w:lastRow="0" w:firstColumn="1" w:lastColumn="0" w:noHBand="0" w:noVBand="1"/>
    </w:tblPr>
    <w:tblGrid>
      <w:gridCol w:w="3313"/>
      <w:gridCol w:w="1468"/>
      <w:gridCol w:w="5675"/>
    </w:tblGrid>
    <w:tr w:rsidR="00431648" w14:paraId="21B9C0FA" w14:textId="77777777">
      <w:tc>
        <w:tcPr>
          <w:tcW w:w="3313" w:type="dxa"/>
          <w:tcBorders>
            <w:top w:val="single" w:sz="24" w:space="0" w:color="FFFFFF"/>
            <w:left w:val="single" w:sz="4" w:space="0" w:color="FFFFFF"/>
            <w:bottom w:val="single" w:sz="4" w:space="0" w:color="FFFFFF"/>
            <w:right w:val="single" w:sz="4" w:space="0" w:color="FFFFFF"/>
          </w:tcBorders>
        </w:tcPr>
        <w:p w14:paraId="21B9C0F6" w14:textId="77777777" w:rsidR="00431648" w:rsidRDefault="00000000">
          <w:pPr>
            <w:tabs>
              <w:tab w:val="center" w:pos="4252"/>
              <w:tab w:val="right" w:pos="8504"/>
            </w:tabs>
            <w:rPr>
              <w:color w:val="000000"/>
            </w:rPr>
          </w:pPr>
          <w:r>
            <w:rPr>
              <w:noProof/>
            </w:rPr>
            <w:drawing>
              <wp:inline distT="0" distB="0" distL="0" distR="0" wp14:anchorId="21B9C10A" wp14:editId="21B9C10B">
                <wp:extent cx="1967865" cy="473710"/>
                <wp:effectExtent l="0" t="0" r="0" b="0"/>
                <wp:docPr id="16"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jpg"/>
                        <pic:cNvPicPr>
                          <a:picLocks noChangeAspect="1" noChangeArrowheads="1"/>
                        </pic:cNvPicPr>
                      </pic:nvPicPr>
                      <pic:blipFill>
                        <a:blip r:embed="rId1"/>
                        <a:stretch>
                          <a:fillRect/>
                        </a:stretch>
                      </pic:blipFill>
                      <pic:spPr>
                        <a:xfrm>
                          <a:off x="0" y="0"/>
                          <a:ext cx="1967865" cy="473710"/>
                        </a:xfrm>
                        <a:prstGeom prst="rect">
                          <a:avLst/>
                        </a:prstGeom>
                      </pic:spPr>
                    </pic:pic>
                  </a:graphicData>
                </a:graphic>
              </wp:inline>
            </w:drawing>
          </w:r>
        </w:p>
      </w:tc>
      <w:tc>
        <w:tcPr>
          <w:tcW w:w="1468" w:type="dxa"/>
          <w:tcBorders>
            <w:top w:val="single" w:sz="24" w:space="0" w:color="FFFFFF"/>
            <w:left w:val="single" w:sz="4" w:space="0" w:color="FFFFFF"/>
            <w:bottom w:val="single" w:sz="4" w:space="0" w:color="FFFFFF"/>
            <w:right w:val="single" w:sz="4" w:space="0" w:color="FFFFFF"/>
          </w:tcBorders>
        </w:tcPr>
        <w:p w14:paraId="21B9C0F7" w14:textId="77777777" w:rsidR="00431648" w:rsidRDefault="00431648">
          <w:pPr>
            <w:tabs>
              <w:tab w:val="center" w:pos="4252"/>
              <w:tab w:val="right" w:pos="8504"/>
            </w:tabs>
            <w:jc w:val="right"/>
            <w:rPr>
              <w:b/>
              <w:color w:val="000000"/>
            </w:rPr>
          </w:pPr>
        </w:p>
      </w:tc>
      <w:tc>
        <w:tcPr>
          <w:tcW w:w="5675" w:type="dxa"/>
          <w:tcBorders>
            <w:top w:val="single" w:sz="4" w:space="0" w:color="000000"/>
            <w:left w:val="single" w:sz="4" w:space="0" w:color="FFFFFF"/>
            <w:bottom w:val="single" w:sz="4" w:space="0" w:color="FFFFFF"/>
            <w:right w:val="single" w:sz="4" w:space="0" w:color="FFFFFF"/>
          </w:tcBorders>
        </w:tcPr>
        <w:p w14:paraId="21B9C0F8" w14:textId="108F1835" w:rsidR="00431648" w:rsidRDefault="00000000">
          <w:pPr>
            <w:tabs>
              <w:tab w:val="center" w:pos="4252"/>
              <w:tab w:val="right" w:pos="8504"/>
            </w:tabs>
            <w:spacing w:line="360" w:lineRule="auto"/>
            <w:ind w:left="-451"/>
            <w:jc w:val="right"/>
            <w:rPr>
              <w:rFonts w:ascii="Times New Roman" w:hAnsi="Times New Roman" w:cs="Times New Roman"/>
              <w:b/>
              <w:color w:val="000000"/>
            </w:rPr>
          </w:pPr>
          <w:r>
            <w:rPr>
              <w:rFonts w:ascii="Times New Roman" w:hAnsi="Times New Roman" w:cs="Times New Roman"/>
              <w:b/>
              <w:color w:val="000000"/>
            </w:rPr>
            <w:t xml:space="preserve">Secretária de Municipal de Saúde </w:t>
          </w:r>
          <w:r w:rsidR="005B6725">
            <w:rPr>
              <w:rFonts w:ascii="Times New Roman" w:hAnsi="Times New Roman" w:cs="Times New Roman"/>
              <w:b/>
              <w:color w:val="000000"/>
            </w:rPr>
            <w:t>- Rondonópolis</w:t>
          </w:r>
          <w:r>
            <w:rPr>
              <w:rFonts w:ascii="Times New Roman" w:hAnsi="Times New Roman" w:cs="Times New Roman"/>
              <w:b/>
              <w:color w:val="000000"/>
            </w:rPr>
            <w:t xml:space="preserve"> – MT</w:t>
          </w:r>
        </w:p>
        <w:p w14:paraId="21B9C0F9" w14:textId="77777777" w:rsidR="00431648" w:rsidRDefault="00000000">
          <w:pPr>
            <w:tabs>
              <w:tab w:val="center" w:pos="4252"/>
              <w:tab w:val="right" w:pos="8504"/>
            </w:tabs>
            <w:spacing w:line="360" w:lineRule="auto"/>
            <w:jc w:val="right"/>
            <w:rPr>
              <w:rFonts w:ascii="Times New Roman" w:hAnsi="Times New Roman" w:cs="Times New Roman"/>
              <w:color w:val="000000"/>
            </w:rPr>
          </w:pPr>
          <w:r>
            <w:rPr>
              <w:rFonts w:ascii="Times New Roman" w:hAnsi="Times New Roman" w:cs="Times New Roman"/>
              <w:color w:val="000000"/>
              <w:sz w:val="18"/>
              <w:szCs w:val="18"/>
            </w:rPr>
            <w:t>Avenida Duque de Caxias, 1000, Vila Aurora, CEP 78740-022.</w:t>
          </w:r>
        </w:p>
      </w:tc>
    </w:tr>
  </w:tbl>
  <w:p w14:paraId="21B9C0FB" w14:textId="77777777" w:rsidR="00431648" w:rsidRDefault="00431648">
    <w:pPr>
      <w:tabs>
        <w:tab w:val="center" w:pos="4252"/>
        <w:tab w:val="right" w:pos="8504"/>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D" w14:textId="77777777" w:rsidR="00431648" w:rsidRDefault="00000000">
    <w:pPr>
      <w:spacing w:line="276" w:lineRule="auto"/>
      <w:rPr>
        <w:color w:val="000000"/>
      </w:rPr>
    </w:pPr>
    <w:r>
      <w:rPr>
        <w:noProof/>
        <w:color w:val="000000"/>
      </w:rPr>
      <mc:AlternateContent>
        <mc:Choice Requires="wps">
          <w:drawing>
            <wp:anchor distT="0" distB="7620" distL="0" distR="0" simplePos="0" relativeHeight="251663360" behindDoc="1" locked="0" layoutInCell="0" allowOverlap="1" wp14:anchorId="21B9C110" wp14:editId="21B9C111">
              <wp:simplePos x="0" y="0"/>
              <wp:positionH relativeFrom="page">
                <wp:posOffset>7143750</wp:posOffset>
              </wp:positionH>
              <wp:positionV relativeFrom="margin">
                <wp:posOffset>5838825</wp:posOffset>
              </wp:positionV>
              <wp:extent cx="419100" cy="1840230"/>
              <wp:effectExtent l="0" t="0" r="0" b="7620"/>
              <wp:wrapNone/>
              <wp:docPr id="17" name="Retângulo 5"/>
              <wp:cNvGraphicFramePr/>
              <a:graphic xmlns:a="http://schemas.openxmlformats.org/drawingml/2006/main">
                <a:graphicData uri="http://schemas.microsoft.com/office/word/2010/wordprocessingShape">
                  <wps:wsp>
                    <wps:cNvSpPr/>
                    <wps:spPr>
                      <a:xfrm>
                        <a:off x="0" y="0"/>
                        <a:ext cx="419040" cy="1840320"/>
                      </a:xfrm>
                      <a:prstGeom prst="rect">
                        <a:avLst/>
                      </a:prstGeom>
                      <a:noFill/>
                      <a:ln w="0">
                        <a:noFill/>
                      </a:ln>
                    </wps:spPr>
                    <wps:style>
                      <a:lnRef idx="0">
                        <a:scrgbClr r="0" g="0" b="0"/>
                      </a:lnRef>
                      <a:fillRef idx="0">
                        <a:scrgbClr r="0" g="0" b="0"/>
                      </a:fillRef>
                      <a:effectRef idx="0">
                        <a:scrgbClr r="0" g="0" b="0"/>
                      </a:effectRef>
                      <a:fontRef idx="minor"/>
                    </wps:style>
                    <wps:txbx>
                      <w:txbxContent>
                        <w:p w14:paraId="21B9C118" w14:textId="77777777" w:rsidR="00431648" w:rsidRDefault="00000000">
                          <w:pPr>
                            <w:pStyle w:val="SemEspaamento"/>
                            <w:rPr>
                              <w:rFonts w:asciiTheme="majorHAnsi" w:eastAsiaTheme="majorEastAsia" w:hAnsiTheme="majorHAnsi" w:cstheme="majorBidi"/>
                              <w:sz w:val="20"/>
                              <w:szCs w:val="44"/>
                              <w:lang w:val="pt-BR"/>
                            </w:rPr>
                          </w:pPr>
                          <w:r>
                            <w:rPr>
                              <w:rFonts w:asciiTheme="majorHAnsi" w:eastAsiaTheme="majorEastAsia" w:hAnsiTheme="majorHAnsi" w:cstheme="majorBidi"/>
                              <w:lang w:val="pt-BR"/>
                            </w:rPr>
                            <w:t>P</w:t>
                          </w:r>
                          <w:r>
                            <w:rPr>
                              <w:rFonts w:asciiTheme="majorHAnsi" w:eastAsiaTheme="majorEastAsia" w:hAnsiTheme="majorHAnsi" w:cstheme="majorBidi"/>
                              <w:sz w:val="20"/>
                              <w:lang w:val="pt-BR"/>
                            </w:rPr>
                            <w:t>ágina</w:t>
                          </w:r>
                          <w:r>
                            <w:rPr>
                              <w:rFonts w:asciiTheme="minorHAnsi" w:eastAsiaTheme="minorEastAsia" w:hAnsiTheme="minorHAnsi" w:cs="Times New Roman"/>
                              <w:sz w:val="20"/>
                              <w:lang w:val="pt-BR"/>
                            </w:rPr>
                            <w:fldChar w:fldCharType="begin"/>
                          </w:r>
                          <w:r>
                            <w:rPr>
                              <w:rFonts w:ascii="Calibri" w:hAnsi="Calibri" w:cs="Times New Roman"/>
                              <w:sz w:val="20"/>
                              <w:lang w:val="pt-BR"/>
                            </w:rPr>
                            <w:instrText xml:space="preserve"> PAGE </w:instrText>
                          </w:r>
                          <w:r>
                            <w:rPr>
                              <w:rFonts w:ascii="Calibri" w:hAnsi="Calibri" w:cs="Times New Roman"/>
                              <w:sz w:val="20"/>
                              <w:lang w:val="pt-BR"/>
                            </w:rPr>
                            <w:fldChar w:fldCharType="separate"/>
                          </w:r>
                          <w:r>
                            <w:rPr>
                              <w:rFonts w:ascii="Calibri" w:hAnsi="Calibri" w:cs="Times New Roman"/>
                              <w:sz w:val="20"/>
                              <w:lang w:val="pt-BR"/>
                            </w:rPr>
                            <w:t>17</w:t>
                          </w:r>
                          <w:r>
                            <w:rPr>
                              <w:rFonts w:ascii="Calibri" w:hAnsi="Calibri" w:cs="Times New Roman"/>
                              <w:sz w:val="20"/>
                              <w:lang w:val="pt-BR"/>
                            </w:rPr>
                            <w:fldChar w:fldCharType="end"/>
                          </w:r>
                        </w:p>
                      </w:txbxContent>
                    </wps:txbx>
                    <wps:bodyPr vert="vert270" anchor="ctr" upright="1">
                      <a:noAutofit/>
                    </wps:bodyPr>
                  </wps:wsp>
                </a:graphicData>
              </a:graphic>
            </wp:anchor>
          </w:drawing>
        </mc:Choice>
        <mc:Fallback>
          <w:pict>
            <v:rect w14:anchorId="21B9C110" id="_x0000_s1029" style="position:absolute;margin-left:562.5pt;margin-top:459.75pt;width:33pt;height:144.9pt;z-index:-251653120;visibility:visible;mso-wrap-style:square;mso-wrap-distance-left:0;mso-wrap-distance-top:0;mso-wrap-distance-right:0;mso-wrap-distance-bottom:.6pt;mso-position-horizontal:absolute;mso-position-horizontal-relative:page;mso-position-vertical:absolute;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" o:allowincell="f" filled="f" stroked="f" strokeweight="0">
              <v:textbox style="layout-flow:vertical;mso-layout-flow-alt:bottom-to-top">
                <w:txbxContent>
                  <w:p w14:paraId="21B9C118" w14:textId="77777777" w:rsidR="00431648" w:rsidRDefault="00000000">
                    <w:pPr>
                      <w:pStyle w:val="SemEspaamento"/>
                      <w:rPr>
                        <w:rFonts w:asciiTheme="majorHAnsi" w:eastAsiaTheme="majorEastAsia" w:hAnsiTheme="majorHAnsi" w:cstheme="majorBidi"/>
                        <w:sz w:val="20"/>
                        <w:szCs w:val="44"/>
                        <w:lang w:val="pt-BR"/>
                      </w:rPr>
                    </w:pPr>
                    <w:r>
                      <w:rPr>
                        <w:rFonts w:asciiTheme="majorHAnsi" w:eastAsiaTheme="majorEastAsia" w:hAnsiTheme="majorHAnsi" w:cstheme="majorBidi"/>
                        <w:lang w:val="pt-BR"/>
                      </w:rPr>
                      <w:t>P</w:t>
                    </w:r>
                    <w:r>
                      <w:rPr>
                        <w:rFonts w:asciiTheme="majorHAnsi" w:eastAsiaTheme="majorEastAsia" w:hAnsiTheme="majorHAnsi" w:cstheme="majorBidi"/>
                        <w:sz w:val="20"/>
                        <w:lang w:val="pt-BR"/>
                      </w:rPr>
                      <w:t>ágina</w:t>
                    </w:r>
                    <w:r>
                      <w:rPr>
                        <w:rFonts w:asciiTheme="minorHAnsi" w:eastAsiaTheme="minorEastAsia" w:hAnsiTheme="minorHAnsi" w:cs="Times New Roman"/>
                        <w:sz w:val="20"/>
                        <w:lang w:val="pt-BR"/>
                      </w:rPr>
                      <w:fldChar w:fldCharType="begin"/>
                    </w:r>
                    <w:r>
                      <w:rPr>
                        <w:rFonts w:ascii="Calibri" w:hAnsi="Calibri" w:cs="Times New Roman"/>
                        <w:sz w:val="20"/>
                        <w:lang w:val="pt-BR"/>
                      </w:rPr>
                      <w:instrText xml:space="preserve"> PAGE </w:instrText>
                    </w:r>
                    <w:r>
                      <w:rPr>
                        <w:rFonts w:ascii="Calibri" w:hAnsi="Calibri" w:cs="Times New Roman"/>
                        <w:sz w:val="20"/>
                        <w:lang w:val="pt-BR"/>
                      </w:rPr>
                      <w:fldChar w:fldCharType="separate"/>
                    </w:r>
                    <w:r>
                      <w:rPr>
                        <w:rFonts w:ascii="Calibri" w:hAnsi="Calibri" w:cs="Times New Roman"/>
                        <w:sz w:val="20"/>
                        <w:lang w:val="pt-BR"/>
                      </w:rPr>
                      <w:t>17</w:t>
                    </w:r>
                    <w:r>
                      <w:rPr>
                        <w:rFonts w:ascii="Calibri" w:hAnsi="Calibri" w:cs="Times New Roman"/>
                        <w:sz w:val="20"/>
                        <w:lang w:val="pt-BR"/>
                      </w:rPr>
                      <w:fldChar w:fldCharType="end"/>
                    </w:r>
                  </w:p>
                </w:txbxContent>
              </v:textbox>
              <w10:wrap anchorx="page" anchory="margin"/>
            </v:rect>
          </w:pict>
        </mc:Fallback>
      </mc:AlternateContent>
    </w:r>
  </w:p>
  <w:tbl>
    <w:tblPr>
      <w:tblW w:w="10456" w:type="dxa"/>
      <w:tblInd w:w="-108" w:type="dxa"/>
      <w:tblLayout w:type="fixed"/>
      <w:tblLook w:val="04A0" w:firstRow="1" w:lastRow="0" w:firstColumn="1" w:lastColumn="0" w:noHBand="0" w:noVBand="1"/>
    </w:tblPr>
    <w:tblGrid>
      <w:gridCol w:w="3313"/>
      <w:gridCol w:w="1811"/>
      <w:gridCol w:w="5332"/>
    </w:tblGrid>
    <w:tr w:rsidR="00431648" w14:paraId="21B9C102" w14:textId="77777777">
      <w:tc>
        <w:tcPr>
          <w:tcW w:w="3313" w:type="dxa"/>
          <w:tcBorders>
            <w:top w:val="single" w:sz="24" w:space="0" w:color="FFFFFF"/>
            <w:left w:val="single" w:sz="4" w:space="0" w:color="FFFFFF"/>
            <w:bottom w:val="single" w:sz="4" w:space="0" w:color="FFFFFF"/>
            <w:right w:val="single" w:sz="4" w:space="0" w:color="FFFFFF"/>
          </w:tcBorders>
        </w:tcPr>
        <w:p w14:paraId="21B9C0FE" w14:textId="77777777" w:rsidR="00431648" w:rsidRDefault="00000000">
          <w:pPr>
            <w:tabs>
              <w:tab w:val="center" w:pos="4252"/>
              <w:tab w:val="right" w:pos="8504"/>
            </w:tabs>
            <w:rPr>
              <w:color w:val="000000"/>
            </w:rPr>
          </w:pPr>
          <w:r>
            <w:rPr>
              <w:noProof/>
            </w:rPr>
            <w:drawing>
              <wp:inline distT="0" distB="0" distL="0" distR="0" wp14:anchorId="21B9C112" wp14:editId="21B9C113">
                <wp:extent cx="1967865" cy="473710"/>
                <wp:effectExtent l="0" t="0" r="0" b="0"/>
                <wp:docPr id="19"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jpg"/>
                        <pic:cNvPicPr>
                          <a:picLocks noChangeAspect="1" noChangeArrowheads="1"/>
                        </pic:cNvPicPr>
                      </pic:nvPicPr>
                      <pic:blipFill>
                        <a:blip r:embed="rId1"/>
                        <a:stretch>
                          <a:fillRect/>
                        </a:stretch>
                      </pic:blipFill>
                      <pic:spPr>
                        <a:xfrm>
                          <a:off x="0" y="0"/>
                          <a:ext cx="1967865" cy="473710"/>
                        </a:xfrm>
                        <a:prstGeom prst="rect">
                          <a:avLst/>
                        </a:prstGeom>
                      </pic:spPr>
                    </pic:pic>
                  </a:graphicData>
                </a:graphic>
              </wp:inline>
            </w:drawing>
          </w:r>
        </w:p>
      </w:tc>
      <w:tc>
        <w:tcPr>
          <w:tcW w:w="1811" w:type="dxa"/>
          <w:tcBorders>
            <w:top w:val="single" w:sz="24" w:space="0" w:color="FFFFFF"/>
            <w:left w:val="single" w:sz="4" w:space="0" w:color="FFFFFF"/>
            <w:bottom w:val="single" w:sz="4" w:space="0" w:color="FFFFFF"/>
            <w:right w:val="single" w:sz="4" w:space="0" w:color="FFFFFF"/>
          </w:tcBorders>
        </w:tcPr>
        <w:p w14:paraId="21B9C0FF" w14:textId="77777777" w:rsidR="00431648" w:rsidRDefault="00431648">
          <w:pPr>
            <w:tabs>
              <w:tab w:val="center" w:pos="4252"/>
              <w:tab w:val="right" w:pos="8504"/>
            </w:tabs>
            <w:jc w:val="right"/>
            <w:rPr>
              <w:b/>
              <w:color w:val="000000"/>
            </w:rPr>
          </w:pPr>
        </w:p>
      </w:tc>
      <w:tc>
        <w:tcPr>
          <w:tcW w:w="5332" w:type="dxa"/>
          <w:tcBorders>
            <w:top w:val="single" w:sz="4" w:space="0" w:color="000000"/>
            <w:left w:val="single" w:sz="4" w:space="0" w:color="FFFFFF"/>
            <w:bottom w:val="single" w:sz="4" w:space="0" w:color="FFFFFF"/>
            <w:right w:val="single" w:sz="4" w:space="0" w:color="FFFFFF"/>
          </w:tcBorders>
        </w:tcPr>
        <w:p w14:paraId="21B9C100" w14:textId="77777777" w:rsidR="00431648" w:rsidRDefault="00000000">
          <w:pPr>
            <w:tabs>
              <w:tab w:val="center" w:pos="4252"/>
              <w:tab w:val="right" w:pos="8504"/>
            </w:tabs>
            <w:jc w:val="right"/>
            <w:rPr>
              <w:b/>
              <w:color w:val="000000"/>
            </w:rPr>
          </w:pPr>
          <w:r>
            <w:rPr>
              <w:b/>
              <w:color w:val="000000"/>
            </w:rPr>
            <w:t>Prefeitura Municipal de Rondonópolis – MT</w:t>
          </w:r>
        </w:p>
        <w:p w14:paraId="21B9C101" w14:textId="77777777" w:rsidR="00431648" w:rsidRDefault="00000000">
          <w:pPr>
            <w:tabs>
              <w:tab w:val="center" w:pos="4252"/>
              <w:tab w:val="right" w:pos="8504"/>
            </w:tabs>
            <w:jc w:val="right"/>
            <w:rPr>
              <w:color w:val="000000"/>
            </w:rPr>
          </w:pPr>
          <w:r>
            <w:rPr>
              <w:color w:val="000000"/>
              <w:sz w:val="18"/>
              <w:szCs w:val="18"/>
            </w:rPr>
            <w:t>Avenida Duque de Caxias, 1000, Vila Aurora, CEP 78740-022.</w:t>
          </w:r>
        </w:p>
      </w:tc>
    </w:tr>
  </w:tbl>
  <w:p w14:paraId="21B9C103" w14:textId="77777777" w:rsidR="00431648" w:rsidRDefault="00431648">
    <w:pP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A9047B" w14:textId="77777777" w:rsidR="00B259FD" w:rsidRDefault="00B259FD">
      <w:r>
        <w:separator/>
      </w:r>
    </w:p>
  </w:footnote>
  <w:footnote w:type="continuationSeparator" w:id="0">
    <w:p w14:paraId="41E6EF0C" w14:textId="77777777" w:rsidR="00B259FD" w:rsidRDefault="00B259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2" w14:textId="77777777" w:rsidR="00431648" w:rsidRDefault="00000000">
    <w:pPr>
      <w:tabs>
        <w:tab w:val="center" w:pos="4252"/>
        <w:tab w:val="right" w:pos="8504"/>
      </w:tabs>
      <w:rPr>
        <w:color w:val="000000"/>
      </w:rPr>
    </w:pPr>
    <w:r>
      <w:rPr>
        <w:noProof/>
        <w:color w:val="000000"/>
      </w:rPr>
      <w:drawing>
        <wp:anchor distT="0" distB="0" distL="0" distR="0" simplePos="0" relativeHeight="251664384" behindDoc="1" locked="0" layoutInCell="1" allowOverlap="1" wp14:anchorId="21B9C104" wp14:editId="21B9C105">
          <wp:simplePos x="0" y="0"/>
          <wp:positionH relativeFrom="margin">
            <wp:align>center</wp:align>
          </wp:positionH>
          <wp:positionV relativeFrom="margin">
            <wp:align>center</wp:align>
          </wp:positionV>
          <wp:extent cx="4495165" cy="4328160"/>
          <wp:effectExtent l="0" t="0" r="0" b="0"/>
          <wp:wrapNone/>
          <wp:docPr id="7"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png"/>
                  <pic:cNvPicPr>
                    <a:picLocks noChangeAspect="1" noChangeArrowheads="1"/>
                  </pic:cNvPicPr>
                </pic:nvPicPr>
                <pic:blipFill>
                  <a:blip r:embed="rId1"/>
                  <a:stretch>
                    <a:fillRect/>
                  </a:stretch>
                </pic:blipFill>
                <pic:spPr>
                  <a:xfrm>
                    <a:off x="0" y="0"/>
                    <a:ext cx="4495165" cy="432816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3" w14:textId="2FD1183F" w:rsidR="00431648" w:rsidRDefault="00000000">
    <w:pPr>
      <w:tabs>
        <w:tab w:val="center" w:pos="4252"/>
        <w:tab w:val="right" w:pos="8504"/>
      </w:tabs>
      <w:rPr>
        <w:color w:val="000000"/>
      </w:rPr>
    </w:pPr>
    <w:sdt>
      <w:sdtPr>
        <w:rPr>
          <w:color w:val="000000"/>
        </w:rPr>
        <w:id w:val="72545488"/>
        <w:docPartObj>
          <w:docPartGallery w:val="Page Numbers (Margins)"/>
          <w:docPartUnique/>
        </w:docPartObj>
      </w:sdtPr>
      <w:sdtContent>
        <w:r w:rsidR="001C74AF" w:rsidRPr="001C74AF">
          <w:rPr>
            <w:noProof/>
            <w:color w:val="000000"/>
          </w:rPr>
          <mc:AlternateContent>
            <mc:Choice Requires="wps">
              <w:drawing>
                <wp:anchor distT="0" distB="0" distL="114300" distR="114300" simplePos="0" relativeHeight="251666432" behindDoc="0" locked="0" layoutInCell="0" allowOverlap="1" wp14:anchorId="7C080645" wp14:editId="7100ECEE">
                  <wp:simplePos x="0" y="0"/>
                  <wp:positionH relativeFrom="rightMargin">
                    <wp:align>center</wp:align>
                  </wp:positionH>
                  <wp:positionV relativeFrom="margin">
                    <wp:align>bottom</wp:align>
                  </wp:positionV>
                  <wp:extent cx="510540" cy="2183130"/>
                  <wp:effectExtent l="0" t="0" r="3810" b="0"/>
                  <wp:wrapNone/>
                  <wp:docPr id="415276546"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57755" w14:textId="05555345" w:rsidR="001C74AF" w:rsidRPr="001C74AF" w:rsidRDefault="001C74AF">
                              <w:pPr>
                                <w:pStyle w:val="Rodap"/>
                                <w:rPr>
                                  <w:rFonts w:ascii="Times New Roman" w:eastAsiaTheme="majorEastAsia" w:hAnsi="Times New Roman" w:cs="Times New Roman"/>
                                  <w:sz w:val="20"/>
                                  <w:szCs w:val="20"/>
                                </w:rPr>
                              </w:pPr>
                              <w:r w:rsidRPr="001C74AF">
                                <w:rPr>
                                  <w:rFonts w:ascii="Times New Roman" w:eastAsiaTheme="majorEastAsia" w:hAnsi="Times New Roman" w:cs="Times New Roman"/>
                                  <w:sz w:val="20"/>
                                  <w:szCs w:val="20"/>
                                </w:rPr>
                                <w:t>Página</w:t>
                              </w:r>
                              <w:r>
                                <w:rPr>
                                  <w:rFonts w:ascii="Times New Roman" w:eastAsiaTheme="majorEastAsia" w:hAnsi="Times New Roman" w:cs="Times New Roman"/>
                                  <w:sz w:val="20"/>
                                  <w:szCs w:val="20"/>
                                </w:rPr>
                                <w:t xml:space="preserve"> </w:t>
                              </w:r>
                              <w:r w:rsidRPr="001C74AF">
                                <w:rPr>
                                  <w:rFonts w:ascii="Times New Roman" w:eastAsiaTheme="minorEastAsia" w:hAnsi="Times New Roman" w:cs="Times New Roman"/>
                                  <w:sz w:val="20"/>
                                  <w:szCs w:val="20"/>
                                </w:rPr>
                                <w:fldChar w:fldCharType="begin"/>
                              </w:r>
                              <w:r w:rsidRPr="001C74AF">
                                <w:rPr>
                                  <w:rFonts w:ascii="Times New Roman" w:hAnsi="Times New Roman" w:cs="Times New Roman"/>
                                  <w:sz w:val="20"/>
                                  <w:szCs w:val="20"/>
                                </w:rPr>
                                <w:instrText>PAGE    \* MERGEFORMAT</w:instrText>
                              </w:r>
                              <w:r w:rsidRPr="001C74AF">
                                <w:rPr>
                                  <w:rFonts w:ascii="Times New Roman" w:eastAsiaTheme="minorEastAsia" w:hAnsi="Times New Roman" w:cs="Times New Roman"/>
                                  <w:sz w:val="20"/>
                                  <w:szCs w:val="20"/>
                                </w:rPr>
                                <w:fldChar w:fldCharType="separate"/>
                              </w:r>
                              <w:r w:rsidRPr="001C74AF">
                                <w:rPr>
                                  <w:rFonts w:ascii="Times New Roman" w:eastAsiaTheme="majorEastAsia" w:hAnsi="Times New Roman" w:cs="Times New Roman"/>
                                  <w:sz w:val="20"/>
                                  <w:szCs w:val="20"/>
                                </w:rPr>
                                <w:t>2</w:t>
                              </w:r>
                              <w:r w:rsidRPr="001C74AF">
                                <w:rPr>
                                  <w:rFonts w:ascii="Times New Roman" w:eastAsiaTheme="majorEastAsia" w:hAnsi="Times New Roman" w:cs="Times New Roman"/>
                                  <w:sz w:val="20"/>
                                  <w:szCs w:val="20"/>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C080645" id="Retângulo 5" o:spid="_x0000_s1026" style="position:absolute;margin-left:0;margin-top:0;width:40.2pt;height:171.9pt;z-index:251666432;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" o:allowincell="f" filled="f" stroked="f">
                  <v:textbox style="layout-flow:vertical;mso-layout-flow-alt:bottom-to-top;mso-fit-shape-to-text:t">
                    <w:txbxContent>
                      <w:p w14:paraId="5AE57755" w14:textId="05555345" w:rsidR="001C74AF" w:rsidRPr="001C74AF" w:rsidRDefault="001C74AF">
                        <w:pPr>
                          <w:pStyle w:val="Rodap"/>
                          <w:rPr>
                            <w:rFonts w:ascii="Times New Roman" w:eastAsiaTheme="majorEastAsia" w:hAnsi="Times New Roman" w:cs="Times New Roman"/>
                            <w:sz w:val="20"/>
                            <w:szCs w:val="20"/>
                          </w:rPr>
                        </w:pPr>
                        <w:r w:rsidRPr="001C74AF">
                          <w:rPr>
                            <w:rFonts w:ascii="Times New Roman" w:eastAsiaTheme="majorEastAsia" w:hAnsi="Times New Roman" w:cs="Times New Roman"/>
                            <w:sz w:val="20"/>
                            <w:szCs w:val="20"/>
                          </w:rPr>
                          <w:t>Página</w:t>
                        </w:r>
                        <w:r>
                          <w:rPr>
                            <w:rFonts w:ascii="Times New Roman" w:eastAsiaTheme="majorEastAsia" w:hAnsi="Times New Roman" w:cs="Times New Roman"/>
                            <w:sz w:val="20"/>
                            <w:szCs w:val="20"/>
                          </w:rPr>
                          <w:t xml:space="preserve"> </w:t>
                        </w:r>
                        <w:r w:rsidRPr="001C74AF">
                          <w:rPr>
                            <w:rFonts w:ascii="Times New Roman" w:eastAsiaTheme="minorEastAsia" w:hAnsi="Times New Roman" w:cs="Times New Roman"/>
                            <w:sz w:val="20"/>
                            <w:szCs w:val="20"/>
                          </w:rPr>
                          <w:fldChar w:fldCharType="begin"/>
                        </w:r>
                        <w:r w:rsidRPr="001C74AF">
                          <w:rPr>
                            <w:rFonts w:ascii="Times New Roman" w:hAnsi="Times New Roman" w:cs="Times New Roman"/>
                            <w:sz w:val="20"/>
                            <w:szCs w:val="20"/>
                          </w:rPr>
                          <w:instrText>PAGE    \* MERGEFORMAT</w:instrText>
                        </w:r>
                        <w:r w:rsidRPr="001C74AF">
                          <w:rPr>
                            <w:rFonts w:ascii="Times New Roman" w:eastAsiaTheme="minorEastAsia" w:hAnsi="Times New Roman" w:cs="Times New Roman"/>
                            <w:sz w:val="20"/>
                            <w:szCs w:val="20"/>
                          </w:rPr>
                          <w:fldChar w:fldCharType="separate"/>
                        </w:r>
                        <w:r w:rsidRPr="001C74AF">
                          <w:rPr>
                            <w:rFonts w:ascii="Times New Roman" w:eastAsiaTheme="majorEastAsia" w:hAnsi="Times New Roman" w:cs="Times New Roman"/>
                            <w:sz w:val="20"/>
                            <w:szCs w:val="20"/>
                          </w:rPr>
                          <w:t>2</w:t>
                        </w:r>
                        <w:r w:rsidRPr="001C74AF">
                          <w:rPr>
                            <w:rFonts w:ascii="Times New Roman" w:eastAsiaTheme="majorEastAsia" w:hAnsi="Times New Roman" w:cs="Times New Roman"/>
                            <w:sz w:val="20"/>
                            <w:szCs w:val="20"/>
                          </w:rPr>
                          <w:fldChar w:fldCharType="end"/>
                        </w:r>
                      </w:p>
                    </w:txbxContent>
                  </v:textbox>
                  <w10:wrap anchorx="margin" anchory="margin"/>
                </v:rect>
              </w:pict>
            </mc:Fallback>
          </mc:AlternateContent>
        </w:r>
      </w:sdtContent>
    </w:sdt>
    <w:r w:rsidR="001C74AF">
      <w:rPr>
        <w:noProof/>
        <w:color w:val="000000"/>
      </w:rPr>
      <w:drawing>
        <wp:anchor distT="0" distB="0" distL="0" distR="0" simplePos="0" relativeHeight="251659264" behindDoc="1" locked="0" layoutInCell="0" allowOverlap="1" wp14:anchorId="21B9C106" wp14:editId="21B9C107">
          <wp:simplePos x="0" y="0"/>
          <wp:positionH relativeFrom="margin">
            <wp:align>right</wp:align>
          </wp:positionH>
          <wp:positionV relativeFrom="paragraph">
            <wp:posOffset>-1334770</wp:posOffset>
          </wp:positionV>
          <wp:extent cx="6705600" cy="1323975"/>
          <wp:effectExtent l="0" t="0" r="0" b="0"/>
          <wp:wrapNone/>
          <wp:docPr id="8"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a:picLocks noChangeAspect="1" noChangeArrowheads="1"/>
                  </pic:cNvPicPr>
                </pic:nvPicPr>
                <pic:blipFill>
                  <a:blip r:embed="rId1"/>
                  <a:stretch>
                    <a:fillRect/>
                  </a:stretch>
                </pic:blipFill>
                <pic:spPr>
                  <a:xfrm>
                    <a:off x="0" y="0"/>
                    <a:ext cx="6705600" cy="1323975"/>
                  </a:xfrm>
                  <a:prstGeom prst="rect">
                    <a:avLst/>
                  </a:prstGeom>
                </pic:spPr>
              </pic:pic>
            </a:graphicData>
          </a:graphic>
        </wp:anchor>
      </w:drawing>
    </w:r>
    <w:r w:rsidR="001C74AF">
      <w:rPr>
        <w:noProof/>
        <w:color w:val="000000"/>
      </w:rPr>
      <mc:AlternateContent>
        <mc:Choice Requires="wps">
          <w:drawing>
            <wp:anchor distT="0" distB="0" distL="0" distR="9525" simplePos="0" relativeHeight="251661312" behindDoc="1" locked="0" layoutInCell="0" allowOverlap="1" wp14:anchorId="21B9C108" wp14:editId="21B9C109">
              <wp:simplePos x="0" y="0"/>
              <wp:positionH relativeFrom="column">
                <wp:posOffset>2841625</wp:posOffset>
              </wp:positionH>
              <wp:positionV relativeFrom="paragraph">
                <wp:posOffset>-1182370</wp:posOffset>
              </wp:positionV>
              <wp:extent cx="3590925" cy="1028700"/>
              <wp:effectExtent l="1270" t="635" r="0" b="635"/>
              <wp:wrapNone/>
              <wp:docPr id="9" name="Retângulo: Cantos Arredondados 10"/>
              <wp:cNvGraphicFramePr/>
              <a:graphic xmlns:a="http://schemas.openxmlformats.org/drawingml/2006/main">
                <a:graphicData uri="http://schemas.microsoft.com/office/word/2010/wordprocessingShape">
                  <wps:wsp>
                    <wps:cNvSpPr/>
                    <wps:spPr>
                      <a:xfrm>
                        <a:off x="0" y="0"/>
                        <a:ext cx="3591000" cy="1028880"/>
                      </a:xfrm>
                      <a:prstGeom prst="roundRect">
                        <a:avLst>
                          <a:gd name="adj" fmla="val 16667"/>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21B9C119" w14:textId="77777777" w:rsidR="00431648" w:rsidRDefault="00000000">
                          <w:pPr>
                            <w:pStyle w:val="Contedodoquadro"/>
                            <w:spacing w:line="276" w:lineRule="auto"/>
                            <w:jc w:val="center"/>
                            <w:rPr>
                              <w:rFonts w:ascii="Times New Roman" w:hAnsi="Times New Roman" w:cs="Times New Roman"/>
                            </w:rPr>
                          </w:pPr>
                          <w:r>
                            <w:rPr>
                              <w:rFonts w:ascii="Times New Roman" w:hAnsi="Times New Roman" w:cs="Times New Roman"/>
                              <w:b/>
                              <w:color w:val="000000"/>
                              <w:sz w:val="24"/>
                            </w:rPr>
                            <w:t>Secretaria Municipal de Saúde</w:t>
                          </w:r>
                        </w:p>
                        <w:p w14:paraId="21B9C11A" w14:textId="10CD5276" w:rsidR="00431648" w:rsidRDefault="00000000">
                          <w:pPr>
                            <w:pStyle w:val="Contedodoquadro"/>
                            <w:spacing w:line="276" w:lineRule="auto"/>
                            <w:jc w:val="center"/>
                          </w:pPr>
                          <w:r>
                            <w:rPr>
                              <w:rFonts w:ascii="Times New Roman" w:hAnsi="Times New Roman" w:cs="Times New Roman"/>
                              <w:b/>
                              <w:color w:val="000000"/>
                              <w:sz w:val="24"/>
                            </w:rPr>
                            <w:t xml:space="preserve">ETP – </w:t>
                          </w:r>
                          <w:r w:rsidR="001C74AF">
                            <w:rPr>
                              <w:rFonts w:ascii="Times New Roman" w:hAnsi="Times New Roman" w:cs="Times New Roman"/>
                              <w:b/>
                              <w:color w:val="000000"/>
                              <w:sz w:val="24"/>
                            </w:rPr>
                            <w:t xml:space="preserve">Reforma na Cobertura do Hospital Municipal </w:t>
                          </w:r>
                          <w:proofErr w:type="spellStart"/>
                          <w:r w:rsidR="001C74AF">
                            <w:rPr>
                              <w:rFonts w:ascii="Times New Roman" w:hAnsi="Times New Roman" w:cs="Times New Roman"/>
                              <w:b/>
                              <w:color w:val="000000"/>
                              <w:sz w:val="24"/>
                            </w:rPr>
                            <w:t>Cristyan</w:t>
                          </w:r>
                          <w:proofErr w:type="spellEnd"/>
                          <w:r w:rsidR="001C74AF">
                            <w:rPr>
                              <w:rFonts w:ascii="Times New Roman" w:hAnsi="Times New Roman" w:cs="Times New Roman"/>
                              <w:b/>
                              <w:color w:val="000000"/>
                              <w:sz w:val="24"/>
                            </w:rPr>
                            <w:t xml:space="preserve"> Mary</w:t>
                          </w:r>
                          <w:r w:rsidR="00D33FF6">
                            <w:rPr>
                              <w:rFonts w:ascii="Times New Roman" w:hAnsi="Times New Roman" w:cs="Times New Roman"/>
                              <w:b/>
                              <w:color w:val="000000"/>
                              <w:sz w:val="24"/>
                            </w:rPr>
                            <w:t xml:space="preserve"> da Silveira e Lima</w:t>
                          </w:r>
                          <w:r w:rsidR="001C74AF">
                            <w:rPr>
                              <w:rFonts w:ascii="Times New Roman" w:hAnsi="Times New Roman" w:cs="Times New Roman"/>
                              <w:b/>
                              <w:color w:val="000000"/>
                              <w:sz w:val="24"/>
                            </w:rPr>
                            <w:t xml:space="preserve"> no</w:t>
                          </w:r>
                          <w:r>
                            <w:rPr>
                              <w:rFonts w:ascii="Times New Roman" w:hAnsi="Times New Roman" w:cs="Times New Roman"/>
                              <w:b/>
                              <w:color w:val="000000"/>
                              <w:sz w:val="24"/>
                            </w:rPr>
                            <w:t xml:space="preserve"> Município de Rondonópolis - MT</w:t>
                          </w:r>
                        </w:p>
                      </w:txbxContent>
                    </wps:txbx>
                    <wps:bodyPr anchor="ctr">
                      <a:noAutofit/>
                    </wps:bodyPr>
                  </wps:wsp>
                </a:graphicData>
              </a:graphic>
            </wp:anchor>
          </w:drawing>
        </mc:Choice>
        <mc:Fallback>
          <w:pict>
            <v:roundrect w14:anchorId="21B9C108" id="Retângulo: Cantos Arredondados 10" o:spid="_x0000_s1027" style="position:absolute;margin-left:223.75pt;margin-top:-93.1pt;width:282.75pt;height:81pt;z-index:-251655168;visibility:visible;mso-wrap-style:square;mso-wrap-distance-left:0;mso-wrap-distance-top:0;mso-wrap-distance-right:.75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" o:allowincell="f" stroked="f" strokeweight="0">
              <v:textbox>
                <w:txbxContent>
                  <w:p w14:paraId="21B9C119" w14:textId="77777777" w:rsidR="00431648" w:rsidRDefault="00000000">
                    <w:pPr>
                      <w:pStyle w:val="Contedodoquadro"/>
                      <w:spacing w:line="276" w:lineRule="auto"/>
                      <w:jc w:val="center"/>
                      <w:rPr>
                        <w:rFonts w:ascii="Times New Roman" w:hAnsi="Times New Roman" w:cs="Times New Roman"/>
                      </w:rPr>
                    </w:pPr>
                    <w:r>
                      <w:rPr>
                        <w:rFonts w:ascii="Times New Roman" w:hAnsi="Times New Roman" w:cs="Times New Roman"/>
                        <w:b/>
                        <w:color w:val="000000"/>
                        <w:sz w:val="24"/>
                      </w:rPr>
                      <w:t>Secretaria Municipal de Saúde</w:t>
                    </w:r>
                  </w:p>
                  <w:p w14:paraId="21B9C11A" w14:textId="10CD5276" w:rsidR="00431648" w:rsidRDefault="00000000">
                    <w:pPr>
                      <w:pStyle w:val="Contedodoquadro"/>
                      <w:spacing w:line="276" w:lineRule="auto"/>
                      <w:jc w:val="center"/>
                    </w:pPr>
                    <w:r>
                      <w:rPr>
                        <w:rFonts w:ascii="Times New Roman" w:hAnsi="Times New Roman" w:cs="Times New Roman"/>
                        <w:b/>
                        <w:color w:val="000000"/>
                        <w:sz w:val="24"/>
                      </w:rPr>
                      <w:t xml:space="preserve">ETP – </w:t>
                    </w:r>
                    <w:r w:rsidR="001C74AF">
                      <w:rPr>
                        <w:rFonts w:ascii="Times New Roman" w:hAnsi="Times New Roman" w:cs="Times New Roman"/>
                        <w:b/>
                        <w:color w:val="000000"/>
                        <w:sz w:val="24"/>
                      </w:rPr>
                      <w:t xml:space="preserve">Reforma na Cobertura do Hospital Municipal </w:t>
                    </w:r>
                    <w:proofErr w:type="spellStart"/>
                    <w:r w:rsidR="001C74AF">
                      <w:rPr>
                        <w:rFonts w:ascii="Times New Roman" w:hAnsi="Times New Roman" w:cs="Times New Roman"/>
                        <w:b/>
                        <w:color w:val="000000"/>
                        <w:sz w:val="24"/>
                      </w:rPr>
                      <w:t>Cristyan</w:t>
                    </w:r>
                    <w:proofErr w:type="spellEnd"/>
                    <w:r w:rsidR="001C74AF">
                      <w:rPr>
                        <w:rFonts w:ascii="Times New Roman" w:hAnsi="Times New Roman" w:cs="Times New Roman"/>
                        <w:b/>
                        <w:color w:val="000000"/>
                        <w:sz w:val="24"/>
                      </w:rPr>
                      <w:t xml:space="preserve"> Mary</w:t>
                    </w:r>
                    <w:r w:rsidR="00D33FF6">
                      <w:rPr>
                        <w:rFonts w:ascii="Times New Roman" w:hAnsi="Times New Roman" w:cs="Times New Roman"/>
                        <w:b/>
                        <w:color w:val="000000"/>
                        <w:sz w:val="24"/>
                      </w:rPr>
                      <w:t xml:space="preserve"> da Silveira e Lima</w:t>
                    </w:r>
                    <w:r w:rsidR="001C74AF">
                      <w:rPr>
                        <w:rFonts w:ascii="Times New Roman" w:hAnsi="Times New Roman" w:cs="Times New Roman"/>
                        <w:b/>
                        <w:color w:val="000000"/>
                        <w:sz w:val="24"/>
                      </w:rPr>
                      <w:t xml:space="preserve"> no</w:t>
                    </w:r>
                    <w:r>
                      <w:rPr>
                        <w:rFonts w:ascii="Times New Roman" w:hAnsi="Times New Roman" w:cs="Times New Roman"/>
                        <w:b/>
                        <w:color w:val="000000"/>
                        <w:sz w:val="24"/>
                      </w:rPr>
                      <w:t xml:space="preserve"> Município de Rondonópolis - MT</w:t>
                    </w:r>
                  </w:p>
                </w:txbxContent>
              </v:textbox>
            </v:round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9C0FC" w14:textId="77777777" w:rsidR="00431648" w:rsidRDefault="00000000">
    <w:pPr>
      <w:tabs>
        <w:tab w:val="center" w:pos="4252"/>
        <w:tab w:val="right" w:pos="8504"/>
      </w:tabs>
      <w:rPr>
        <w:color w:val="000000"/>
      </w:rPr>
    </w:pPr>
    <w:r>
      <w:rPr>
        <w:noProof/>
        <w:color w:val="000000"/>
      </w:rPr>
      <w:drawing>
        <wp:anchor distT="0" distB="0" distL="0" distR="0" simplePos="0" relativeHeight="251660288" behindDoc="1" locked="0" layoutInCell="0" allowOverlap="1" wp14:anchorId="21B9C10C" wp14:editId="21B9C10D">
          <wp:simplePos x="0" y="0"/>
          <wp:positionH relativeFrom="margin">
            <wp:align>right</wp:align>
          </wp:positionH>
          <wp:positionV relativeFrom="paragraph">
            <wp:posOffset>-1334770</wp:posOffset>
          </wp:positionV>
          <wp:extent cx="6705600" cy="1323975"/>
          <wp:effectExtent l="0" t="0" r="0" b="0"/>
          <wp:wrapNone/>
          <wp:docPr id="1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3.png"/>
                  <pic:cNvPicPr>
                    <a:picLocks noChangeAspect="1" noChangeArrowheads="1"/>
                  </pic:cNvPicPr>
                </pic:nvPicPr>
                <pic:blipFill>
                  <a:blip r:embed="rId1"/>
                  <a:stretch>
                    <a:fillRect/>
                  </a:stretch>
                </pic:blipFill>
                <pic:spPr>
                  <a:xfrm>
                    <a:off x="0" y="0"/>
                    <a:ext cx="6705600" cy="1323975"/>
                  </a:xfrm>
                  <a:prstGeom prst="rect">
                    <a:avLst/>
                  </a:prstGeom>
                </pic:spPr>
              </pic:pic>
            </a:graphicData>
          </a:graphic>
        </wp:anchor>
      </w:drawing>
    </w:r>
    <w:r>
      <w:rPr>
        <w:noProof/>
        <w:color w:val="000000"/>
      </w:rPr>
      <mc:AlternateContent>
        <mc:Choice Requires="wps">
          <w:drawing>
            <wp:anchor distT="0" distB="0" distL="0" distR="9525" simplePos="0" relativeHeight="251662336" behindDoc="1" locked="0" layoutInCell="0" allowOverlap="1" wp14:anchorId="21B9C10E" wp14:editId="21B9C10F">
              <wp:simplePos x="0" y="0"/>
              <wp:positionH relativeFrom="column">
                <wp:posOffset>2841625</wp:posOffset>
              </wp:positionH>
              <wp:positionV relativeFrom="paragraph">
                <wp:posOffset>-1182370</wp:posOffset>
              </wp:positionV>
              <wp:extent cx="3590925" cy="1028700"/>
              <wp:effectExtent l="1270" t="635" r="0" b="635"/>
              <wp:wrapNone/>
              <wp:docPr id="12" name="Retângulo: Cantos Arredondados 10"/>
              <wp:cNvGraphicFramePr/>
              <a:graphic xmlns:a="http://schemas.openxmlformats.org/drawingml/2006/main">
                <a:graphicData uri="http://schemas.microsoft.com/office/word/2010/wordprocessingShape">
                  <wps:wsp>
                    <wps:cNvSpPr/>
                    <wps:spPr>
                      <a:xfrm>
                        <a:off x="0" y="0"/>
                        <a:ext cx="3591000" cy="1028880"/>
                      </a:xfrm>
                      <a:prstGeom prst="roundRect">
                        <a:avLst>
                          <a:gd name="adj" fmla="val 16667"/>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21B9C114" w14:textId="77777777" w:rsidR="00431648" w:rsidRDefault="00431648">
                          <w:pPr>
                            <w:pStyle w:val="Contedodoquadro"/>
                            <w:jc w:val="center"/>
                            <w:rPr>
                              <w:b/>
                              <w:color w:val="000000"/>
                              <w:sz w:val="24"/>
                            </w:rPr>
                          </w:pPr>
                        </w:p>
                        <w:p w14:paraId="21B9C115" w14:textId="77777777" w:rsidR="00431648" w:rsidRDefault="00000000">
                          <w:pPr>
                            <w:pStyle w:val="Contedodoquadro"/>
                            <w:jc w:val="center"/>
                          </w:pPr>
                          <w:r>
                            <w:rPr>
                              <w:b/>
                              <w:color w:val="000000"/>
                              <w:sz w:val="24"/>
                            </w:rPr>
                            <w:t>Secretaria Municipal de Infraestrutura</w:t>
                          </w:r>
                        </w:p>
                        <w:p w14:paraId="21B9C116" w14:textId="77777777" w:rsidR="00431648" w:rsidRDefault="00000000">
                          <w:pPr>
                            <w:pStyle w:val="Contedodoquadro"/>
                            <w:jc w:val="center"/>
                          </w:pPr>
                          <w:r>
                            <w:rPr>
                              <w:b/>
                              <w:color w:val="000000"/>
                              <w:sz w:val="24"/>
                            </w:rPr>
                            <w:t>ETP – XXXXXXXXXXXXXXXXXXX</w:t>
                          </w:r>
                        </w:p>
                        <w:p w14:paraId="21B9C117" w14:textId="77777777" w:rsidR="00431648" w:rsidRDefault="00431648">
                          <w:pPr>
                            <w:pStyle w:val="Contedodoquadro"/>
                            <w:jc w:val="center"/>
                          </w:pPr>
                        </w:p>
                      </w:txbxContent>
                    </wps:txbx>
                    <wps:bodyPr anchor="ctr">
                      <a:noAutofit/>
                    </wps:bodyPr>
                  </wps:wsp>
                </a:graphicData>
              </a:graphic>
            </wp:anchor>
          </w:drawing>
        </mc:Choice>
        <mc:Fallback>
          <w:pict>
            <v:roundrect w14:anchorId="21B9C10E" id="_x0000_s1028" style="position:absolute;margin-left:223.75pt;margin-top:-93.1pt;width:282.75pt;height:81pt;z-index:-251654144;visibility:visible;mso-wrap-style:square;mso-wrap-distance-left:0;mso-wrap-distance-top:0;mso-wrap-distance-right:.75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" o:allowincell="f" stroked="f" strokeweight="0">
              <v:textbox>
                <w:txbxContent>
                  <w:p w14:paraId="21B9C114" w14:textId="77777777" w:rsidR="00431648" w:rsidRDefault="00431648">
                    <w:pPr>
                      <w:pStyle w:val="Contedodoquadro"/>
                      <w:jc w:val="center"/>
                      <w:rPr>
                        <w:b/>
                        <w:color w:val="000000"/>
                        <w:sz w:val="24"/>
                      </w:rPr>
                    </w:pPr>
                  </w:p>
                  <w:p w14:paraId="21B9C115" w14:textId="77777777" w:rsidR="00431648" w:rsidRDefault="00000000">
                    <w:pPr>
                      <w:pStyle w:val="Contedodoquadro"/>
                      <w:jc w:val="center"/>
                    </w:pPr>
                    <w:r>
                      <w:rPr>
                        <w:b/>
                        <w:color w:val="000000"/>
                        <w:sz w:val="24"/>
                      </w:rPr>
                      <w:t>Secretaria Municipal de Infraestrutura</w:t>
                    </w:r>
                  </w:p>
                  <w:p w14:paraId="21B9C116" w14:textId="77777777" w:rsidR="00431648" w:rsidRDefault="00000000">
                    <w:pPr>
                      <w:pStyle w:val="Contedodoquadro"/>
                      <w:jc w:val="center"/>
                    </w:pPr>
                    <w:r>
                      <w:rPr>
                        <w:b/>
                        <w:color w:val="000000"/>
                        <w:sz w:val="24"/>
                      </w:rPr>
                      <w:t>ETP – XXXXXXXXXXXXXXXXXXX</w:t>
                    </w:r>
                  </w:p>
                  <w:p w14:paraId="21B9C117" w14:textId="77777777" w:rsidR="00431648" w:rsidRDefault="00431648">
                    <w:pPr>
                      <w:pStyle w:val="Contedodoquadro"/>
                      <w:jc w:val="center"/>
                    </w:pPr>
                  </w:p>
                </w:txbxContent>
              </v:textbox>
            </v:round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F5D59"/>
    <w:multiLevelType w:val="multilevel"/>
    <w:tmpl w:val="054F5D5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EE81CA1"/>
    <w:multiLevelType w:val="hybridMultilevel"/>
    <w:tmpl w:val="F0C8B2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C1A5981"/>
    <w:multiLevelType w:val="hybridMultilevel"/>
    <w:tmpl w:val="C29A14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211B4C61"/>
    <w:multiLevelType w:val="hybridMultilevel"/>
    <w:tmpl w:val="BCA6B0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28B96C4D"/>
    <w:multiLevelType w:val="hybridMultilevel"/>
    <w:tmpl w:val="1A5EE1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30613614"/>
    <w:multiLevelType w:val="multilevel"/>
    <w:tmpl w:val="30613614"/>
    <w:lvl w:ilvl="0">
      <w:start w:val="1"/>
      <w:numFmt w:val="decimal"/>
      <w:pStyle w:val="Nivel01"/>
      <w:lvlText w:val="%1."/>
      <w:lvlJc w:val="left"/>
      <w:pPr>
        <w:tabs>
          <w:tab w:val="left" w:pos="0"/>
        </w:tabs>
        <w:ind w:left="1495" w:hanging="360"/>
      </w:pPr>
      <w:rPr>
        <w:b/>
      </w:rPr>
    </w:lvl>
    <w:lvl w:ilvl="1">
      <w:start w:val="1"/>
      <w:numFmt w:val="decimal"/>
      <w:pStyle w:val="Nivel2-Opcional"/>
      <w:lvlText w:val="%1.%2."/>
      <w:lvlJc w:val="left"/>
      <w:pPr>
        <w:tabs>
          <w:tab w:val="left" w:pos="0"/>
        </w:tabs>
        <w:ind w:left="1709" w:hanging="432"/>
      </w:pPr>
      <w:rPr>
        <w:b w:val="0"/>
        <w:i w:val="0"/>
        <w:strike w:val="0"/>
        <w:dstrike w:val="0"/>
        <w:color w:val="auto"/>
        <w:sz w:val="20"/>
        <w:szCs w:val="20"/>
        <w:u w:val="none"/>
      </w:rPr>
    </w:lvl>
    <w:lvl w:ilvl="2">
      <w:start w:val="1"/>
      <w:numFmt w:val="decimal"/>
      <w:pStyle w:val="Nivel3"/>
      <w:lvlText w:val="%1.%2.%3"/>
      <w:lvlJc w:val="left"/>
      <w:pPr>
        <w:tabs>
          <w:tab w:val="left" w:pos="0"/>
        </w:tabs>
        <w:ind w:left="3624" w:hanging="504"/>
      </w:pPr>
      <w:rPr>
        <w:b w:val="0"/>
        <w:i w:val="0"/>
        <w:strike w:val="0"/>
        <w:dstrike w:val="0"/>
        <w:color w:val="000000" w:themeColor="text1"/>
        <w:sz w:val="20"/>
        <w:szCs w:val="20"/>
      </w:rPr>
    </w:lvl>
    <w:lvl w:ilvl="3">
      <w:start w:val="1"/>
      <w:numFmt w:val="decimal"/>
      <w:lvlText w:val="%1.%2.%3.%4."/>
      <w:lvlJc w:val="left"/>
      <w:pPr>
        <w:tabs>
          <w:tab w:val="left" w:pos="0"/>
        </w:tabs>
        <w:ind w:left="3626" w:hanging="648"/>
      </w:pPr>
    </w:lvl>
    <w:lvl w:ilvl="4">
      <w:start w:val="1"/>
      <w:numFmt w:val="decimal"/>
      <w:lvlText w:val="%1.%2.%3.%4.%5."/>
      <w:lvlJc w:val="left"/>
      <w:pPr>
        <w:tabs>
          <w:tab w:val="left" w:pos="0"/>
        </w:tabs>
        <w:ind w:left="3367" w:hanging="792"/>
      </w:pPr>
    </w:lvl>
    <w:lvl w:ilvl="5">
      <w:start w:val="1"/>
      <w:numFmt w:val="decimal"/>
      <w:lvlText w:val="%1.%2.%3.%4.%5.%6."/>
      <w:lvlJc w:val="left"/>
      <w:pPr>
        <w:tabs>
          <w:tab w:val="left" w:pos="0"/>
        </w:tabs>
        <w:ind w:left="3871" w:hanging="936"/>
      </w:pPr>
    </w:lvl>
    <w:lvl w:ilvl="6">
      <w:start w:val="1"/>
      <w:numFmt w:val="decimal"/>
      <w:lvlText w:val="%1.%2.%3.%4.%5.%6.%7."/>
      <w:lvlJc w:val="left"/>
      <w:pPr>
        <w:tabs>
          <w:tab w:val="left" w:pos="0"/>
        </w:tabs>
        <w:ind w:left="4375" w:hanging="1080"/>
      </w:pPr>
    </w:lvl>
    <w:lvl w:ilvl="7">
      <w:start w:val="1"/>
      <w:numFmt w:val="decimal"/>
      <w:lvlText w:val="%1.%2.%3.%4.%5.%6.%7.%8."/>
      <w:lvlJc w:val="left"/>
      <w:pPr>
        <w:tabs>
          <w:tab w:val="left" w:pos="0"/>
        </w:tabs>
        <w:ind w:left="4879" w:hanging="1224"/>
      </w:pPr>
    </w:lvl>
    <w:lvl w:ilvl="8">
      <w:start w:val="1"/>
      <w:numFmt w:val="decimal"/>
      <w:lvlText w:val="%1.%2.%3.%4.%5.%6.%7.%8.%9."/>
      <w:lvlJc w:val="left"/>
      <w:pPr>
        <w:tabs>
          <w:tab w:val="left" w:pos="0"/>
        </w:tabs>
        <w:ind w:left="5455" w:hanging="1440"/>
      </w:pPr>
    </w:lvl>
  </w:abstractNum>
  <w:abstractNum w:abstractNumId="6" w15:restartNumberingAfterBreak="0">
    <w:nsid w:val="429D3E76"/>
    <w:multiLevelType w:val="multilevel"/>
    <w:tmpl w:val="429D3E7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1E0771"/>
    <w:multiLevelType w:val="multilevel"/>
    <w:tmpl w:val="521E077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3123259"/>
    <w:multiLevelType w:val="multilevel"/>
    <w:tmpl w:val="5312325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71E11648"/>
    <w:multiLevelType w:val="hybridMultilevel"/>
    <w:tmpl w:val="EB1899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1052194946">
    <w:abstractNumId w:val="5"/>
  </w:num>
  <w:num w:numId="2" w16cid:durableId="773287779">
    <w:abstractNumId w:val="0"/>
  </w:num>
  <w:num w:numId="3" w16cid:durableId="219827582">
    <w:abstractNumId w:val="8"/>
  </w:num>
  <w:num w:numId="4" w16cid:durableId="598292425">
    <w:abstractNumId w:val="6"/>
  </w:num>
  <w:num w:numId="5" w16cid:durableId="1317371208">
    <w:abstractNumId w:val="7"/>
  </w:num>
  <w:num w:numId="6" w16cid:durableId="1256088802">
    <w:abstractNumId w:val="9"/>
  </w:num>
  <w:num w:numId="7" w16cid:durableId="177157073">
    <w:abstractNumId w:val="4"/>
  </w:num>
  <w:num w:numId="8" w16cid:durableId="522986078">
    <w:abstractNumId w:val="3"/>
  </w:num>
  <w:num w:numId="9" w16cid:durableId="1354109002">
    <w:abstractNumId w:val="1"/>
  </w:num>
  <w:num w:numId="10" w16cid:durableId="30181624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106E"/>
    <w:rsid w:val="00010D26"/>
    <w:rsid w:val="00015D87"/>
    <w:rsid w:val="0003292D"/>
    <w:rsid w:val="00033FA9"/>
    <w:rsid w:val="00035E79"/>
    <w:rsid w:val="0003681B"/>
    <w:rsid w:val="000515D9"/>
    <w:rsid w:val="000735EB"/>
    <w:rsid w:val="000847B0"/>
    <w:rsid w:val="000876DC"/>
    <w:rsid w:val="000A0BC5"/>
    <w:rsid w:val="000B1B5A"/>
    <w:rsid w:val="000B1FD5"/>
    <w:rsid w:val="000B40F4"/>
    <w:rsid w:val="000B4D63"/>
    <w:rsid w:val="000B621F"/>
    <w:rsid w:val="000C35A8"/>
    <w:rsid w:val="000C5851"/>
    <w:rsid w:val="000D3581"/>
    <w:rsid w:val="000D5688"/>
    <w:rsid w:val="00112EEA"/>
    <w:rsid w:val="001204F2"/>
    <w:rsid w:val="0015018C"/>
    <w:rsid w:val="00195E9E"/>
    <w:rsid w:val="001965D8"/>
    <w:rsid w:val="001C74AF"/>
    <w:rsid w:val="001D1419"/>
    <w:rsid w:val="001D352F"/>
    <w:rsid w:val="001D7353"/>
    <w:rsid w:val="001E4746"/>
    <w:rsid w:val="001F07A6"/>
    <w:rsid w:val="001F4C34"/>
    <w:rsid w:val="00200026"/>
    <w:rsid w:val="00207719"/>
    <w:rsid w:val="00211CB2"/>
    <w:rsid w:val="002130A8"/>
    <w:rsid w:val="00221A83"/>
    <w:rsid w:val="00226FD9"/>
    <w:rsid w:val="002279C5"/>
    <w:rsid w:val="0023195C"/>
    <w:rsid w:val="00243F97"/>
    <w:rsid w:val="002616FE"/>
    <w:rsid w:val="002755C3"/>
    <w:rsid w:val="00284709"/>
    <w:rsid w:val="002C7503"/>
    <w:rsid w:val="002E3D6D"/>
    <w:rsid w:val="002F223D"/>
    <w:rsid w:val="003046F2"/>
    <w:rsid w:val="003172C2"/>
    <w:rsid w:val="00336F9B"/>
    <w:rsid w:val="00340727"/>
    <w:rsid w:val="00342D78"/>
    <w:rsid w:val="00346013"/>
    <w:rsid w:val="00375082"/>
    <w:rsid w:val="00376018"/>
    <w:rsid w:val="00386C7A"/>
    <w:rsid w:val="00396D82"/>
    <w:rsid w:val="003A02D0"/>
    <w:rsid w:val="003A5CDA"/>
    <w:rsid w:val="003B0405"/>
    <w:rsid w:val="003B422D"/>
    <w:rsid w:val="003B4BE6"/>
    <w:rsid w:val="003B76DB"/>
    <w:rsid w:val="003C0CA3"/>
    <w:rsid w:val="003E6844"/>
    <w:rsid w:val="003F6C55"/>
    <w:rsid w:val="0040376E"/>
    <w:rsid w:val="00421959"/>
    <w:rsid w:val="00431648"/>
    <w:rsid w:val="0043278F"/>
    <w:rsid w:val="00433A84"/>
    <w:rsid w:val="0045695E"/>
    <w:rsid w:val="004662A4"/>
    <w:rsid w:val="004730E1"/>
    <w:rsid w:val="0047581C"/>
    <w:rsid w:val="004A7EBD"/>
    <w:rsid w:val="004C3D17"/>
    <w:rsid w:val="004F369E"/>
    <w:rsid w:val="004F478C"/>
    <w:rsid w:val="004F7B33"/>
    <w:rsid w:val="00541351"/>
    <w:rsid w:val="005422FF"/>
    <w:rsid w:val="0055172B"/>
    <w:rsid w:val="00582A33"/>
    <w:rsid w:val="005A61ED"/>
    <w:rsid w:val="005A6DC4"/>
    <w:rsid w:val="005B6725"/>
    <w:rsid w:val="005C0F55"/>
    <w:rsid w:val="005D13BB"/>
    <w:rsid w:val="005D2AB1"/>
    <w:rsid w:val="005E1F1C"/>
    <w:rsid w:val="005E5FB3"/>
    <w:rsid w:val="005F1265"/>
    <w:rsid w:val="0060014C"/>
    <w:rsid w:val="00600ECB"/>
    <w:rsid w:val="0063170B"/>
    <w:rsid w:val="0063783D"/>
    <w:rsid w:val="00651198"/>
    <w:rsid w:val="00652BE5"/>
    <w:rsid w:val="00664BD9"/>
    <w:rsid w:val="006818C3"/>
    <w:rsid w:val="00682088"/>
    <w:rsid w:val="006903B8"/>
    <w:rsid w:val="00691D99"/>
    <w:rsid w:val="00692BE3"/>
    <w:rsid w:val="006B0988"/>
    <w:rsid w:val="006B31A3"/>
    <w:rsid w:val="006B4915"/>
    <w:rsid w:val="006B5C70"/>
    <w:rsid w:val="006C30EF"/>
    <w:rsid w:val="006C5473"/>
    <w:rsid w:val="006C6F44"/>
    <w:rsid w:val="006C74EE"/>
    <w:rsid w:val="006F744B"/>
    <w:rsid w:val="00704CB5"/>
    <w:rsid w:val="007070F0"/>
    <w:rsid w:val="0072319F"/>
    <w:rsid w:val="00723456"/>
    <w:rsid w:val="00723476"/>
    <w:rsid w:val="007259E1"/>
    <w:rsid w:val="00726F10"/>
    <w:rsid w:val="00765A63"/>
    <w:rsid w:val="00773C2F"/>
    <w:rsid w:val="00782138"/>
    <w:rsid w:val="007863C0"/>
    <w:rsid w:val="00792369"/>
    <w:rsid w:val="007C0266"/>
    <w:rsid w:val="00805256"/>
    <w:rsid w:val="00843D0C"/>
    <w:rsid w:val="00852A93"/>
    <w:rsid w:val="008708A2"/>
    <w:rsid w:val="0087387C"/>
    <w:rsid w:val="00884300"/>
    <w:rsid w:val="00894981"/>
    <w:rsid w:val="0089737E"/>
    <w:rsid w:val="008B2E7E"/>
    <w:rsid w:val="008B4CDD"/>
    <w:rsid w:val="008C1EAD"/>
    <w:rsid w:val="008C4E6A"/>
    <w:rsid w:val="008D37CF"/>
    <w:rsid w:val="008E5351"/>
    <w:rsid w:val="008F22B5"/>
    <w:rsid w:val="008F4945"/>
    <w:rsid w:val="008F64FE"/>
    <w:rsid w:val="00905347"/>
    <w:rsid w:val="00906D08"/>
    <w:rsid w:val="00911382"/>
    <w:rsid w:val="009225E1"/>
    <w:rsid w:val="0093361A"/>
    <w:rsid w:val="0093745A"/>
    <w:rsid w:val="00940C2E"/>
    <w:rsid w:val="00953B74"/>
    <w:rsid w:val="00956369"/>
    <w:rsid w:val="00980CD7"/>
    <w:rsid w:val="00981FD8"/>
    <w:rsid w:val="00997B1F"/>
    <w:rsid w:val="009A1C29"/>
    <w:rsid w:val="009A32B8"/>
    <w:rsid w:val="009A70AD"/>
    <w:rsid w:val="009B0EB5"/>
    <w:rsid w:val="009B3C5A"/>
    <w:rsid w:val="009D5AF6"/>
    <w:rsid w:val="009E330C"/>
    <w:rsid w:val="009F03BB"/>
    <w:rsid w:val="00A05487"/>
    <w:rsid w:val="00A13758"/>
    <w:rsid w:val="00A26829"/>
    <w:rsid w:val="00A331C6"/>
    <w:rsid w:val="00A3640C"/>
    <w:rsid w:val="00A4130D"/>
    <w:rsid w:val="00A45DCE"/>
    <w:rsid w:val="00A72804"/>
    <w:rsid w:val="00A73B3F"/>
    <w:rsid w:val="00A83A82"/>
    <w:rsid w:val="00A91772"/>
    <w:rsid w:val="00AA5208"/>
    <w:rsid w:val="00AB77E3"/>
    <w:rsid w:val="00AC546A"/>
    <w:rsid w:val="00AD694C"/>
    <w:rsid w:val="00AE61A0"/>
    <w:rsid w:val="00AE7468"/>
    <w:rsid w:val="00AF1CEA"/>
    <w:rsid w:val="00B052DB"/>
    <w:rsid w:val="00B1639A"/>
    <w:rsid w:val="00B259FD"/>
    <w:rsid w:val="00B45D7C"/>
    <w:rsid w:val="00B6296F"/>
    <w:rsid w:val="00B74AA0"/>
    <w:rsid w:val="00B82C3D"/>
    <w:rsid w:val="00B96B67"/>
    <w:rsid w:val="00BA64FE"/>
    <w:rsid w:val="00BC1D8A"/>
    <w:rsid w:val="00BC6018"/>
    <w:rsid w:val="00BE1C58"/>
    <w:rsid w:val="00BF3DFB"/>
    <w:rsid w:val="00C46300"/>
    <w:rsid w:val="00C551B0"/>
    <w:rsid w:val="00C73501"/>
    <w:rsid w:val="00C90EF5"/>
    <w:rsid w:val="00C936CB"/>
    <w:rsid w:val="00CB30E4"/>
    <w:rsid w:val="00CB6FD1"/>
    <w:rsid w:val="00CC2A41"/>
    <w:rsid w:val="00CE22CB"/>
    <w:rsid w:val="00CF1B46"/>
    <w:rsid w:val="00D22949"/>
    <w:rsid w:val="00D33FF6"/>
    <w:rsid w:val="00D559FD"/>
    <w:rsid w:val="00D6106E"/>
    <w:rsid w:val="00DA2CF4"/>
    <w:rsid w:val="00DD1F8E"/>
    <w:rsid w:val="00DE2848"/>
    <w:rsid w:val="00E27BB5"/>
    <w:rsid w:val="00E37F44"/>
    <w:rsid w:val="00E56DBC"/>
    <w:rsid w:val="00E8018C"/>
    <w:rsid w:val="00E875E0"/>
    <w:rsid w:val="00EA0B22"/>
    <w:rsid w:val="00EA11E6"/>
    <w:rsid w:val="00EA75E3"/>
    <w:rsid w:val="00EE12B0"/>
    <w:rsid w:val="00EE55DA"/>
    <w:rsid w:val="00EF20C6"/>
    <w:rsid w:val="00F02D2F"/>
    <w:rsid w:val="00F10A4C"/>
    <w:rsid w:val="00F111A5"/>
    <w:rsid w:val="00F116A0"/>
    <w:rsid w:val="00F20131"/>
    <w:rsid w:val="00F24057"/>
    <w:rsid w:val="00F46AD0"/>
    <w:rsid w:val="00F563B8"/>
    <w:rsid w:val="00F60A9E"/>
    <w:rsid w:val="00F81A06"/>
    <w:rsid w:val="00F878FF"/>
    <w:rsid w:val="00F931A6"/>
    <w:rsid w:val="00FC4A6A"/>
    <w:rsid w:val="00FD1334"/>
    <w:rsid w:val="00FD491C"/>
    <w:rsid w:val="52DB5C32"/>
  </w:rsids>
  <m:mathPr>
    <m:mathFont m:val="Cambria Math"/>
    <m:brkBin m:val="before"/>
    <m:brkBinSub m:val="--"/>
    <m:smallFrac m:val="0"/>
    <m:dispDef/>
    <m:lMargin m:val="0"/>
    <m:rMargin m:val="0"/>
    <m:defJc m:val="centerGroup"/>
    <m:wrapIndent m:val="1440"/>
    <m:intLim m:val="subSup"/>
    <m:naryLim m:val="undOvr"/>
  </m:mathPr>
  <w:themeFontLang w:val="pt-BR"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21B9BF89"/>
  <w15:docId w15:val="{304F370E-177F-4EBB-A635-D448CAD82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nhideWhenUsed="1"/>
    <w:lsdException w:name="index heading" w:uiPriority="0"/>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uiPriority="0"/>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uiPriority="29"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pPr>
    <w:rPr>
      <w:sz w:val="22"/>
      <w:szCs w:val="22"/>
      <w:lang w:eastAsia="en-US"/>
    </w:rPr>
  </w:style>
  <w:style w:type="paragraph" w:styleId="Ttulo1">
    <w:name w:val="heading 1"/>
    <w:basedOn w:val="Normal"/>
    <w:next w:val="Normal"/>
    <w:link w:val="Ttulo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semiHidden/>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semiHidden/>
    <w:unhideWhenUsed/>
    <w:qFormat/>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semiHidden/>
    <w:unhideWhenUsed/>
    <w:qFormat/>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iPriority w:val="9"/>
    <w:semiHidden/>
    <w:unhideWhenUsed/>
    <w:qFormat/>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pPr>
      <w:keepNext/>
      <w:keepLines/>
      <w:outlineLvl w:val="7"/>
    </w:pPr>
    <w:rPr>
      <w:rFonts w:eastAsiaTheme="majorEastAsia" w:cstheme="majorBidi"/>
      <w:i/>
      <w:iCs/>
      <w:color w:val="262626" w:themeColor="text1" w:themeTint="D9"/>
    </w:rPr>
  </w:style>
  <w:style w:type="paragraph" w:styleId="Ttulo9">
    <w:name w:val="heading 9"/>
    <w:basedOn w:val="Normal"/>
    <w:next w:val="Normal"/>
    <w:link w:val="Ttulo9Char"/>
    <w:uiPriority w:val="9"/>
    <w:semiHidden/>
    <w:unhideWhenUsed/>
    <w:qFormat/>
    <w:pPr>
      <w:keepNext/>
      <w:keepLines/>
      <w:outlineLvl w:val="8"/>
    </w:pPr>
    <w:rPr>
      <w:rFonts w:eastAsiaTheme="majorEastAsia" w:cstheme="majorBidi"/>
      <w:color w:val="262626" w:themeColor="text1" w:themeTint="D9"/>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Refdecomentrio">
    <w:name w:val="annotation reference"/>
    <w:basedOn w:val="Fontepargpadro"/>
    <w:unhideWhenUsed/>
    <w:qFormat/>
    <w:rPr>
      <w:sz w:val="16"/>
      <w:szCs w:val="16"/>
    </w:rPr>
  </w:style>
  <w:style w:type="character" w:styleId="nfase">
    <w:name w:val="Emphasis"/>
    <w:basedOn w:val="Fontepargpadro"/>
    <w:uiPriority w:val="20"/>
    <w:qFormat/>
    <w:rPr>
      <w:i/>
      <w:iCs/>
    </w:rPr>
  </w:style>
  <w:style w:type="character" w:styleId="Hyperlink">
    <w:name w:val="Hyperlink"/>
    <w:basedOn w:val="Fontepargpadro"/>
    <w:uiPriority w:val="99"/>
    <w:unhideWhenUsed/>
    <w:qFormat/>
    <w:rPr>
      <w:color w:val="0563C1" w:themeColor="hyperlink"/>
      <w:u w:val="single"/>
    </w:rPr>
  </w:style>
  <w:style w:type="character" w:styleId="Nmerodepgina">
    <w:name w:val="page number"/>
    <w:basedOn w:val="Fontepargpadro"/>
    <w:uiPriority w:val="99"/>
    <w:unhideWhenUsed/>
    <w:qFormat/>
  </w:style>
  <w:style w:type="paragraph" w:styleId="Lista">
    <w:name w:val="List"/>
    <w:basedOn w:val="Corpodetexto"/>
  </w:style>
  <w:style w:type="paragraph" w:styleId="Corpodetexto">
    <w:name w:val="Body Text"/>
    <w:basedOn w:val="Normal"/>
    <w:link w:val="CorpodetextoChar"/>
    <w:uiPriority w:val="1"/>
    <w:qFormat/>
    <w:rPr>
      <w:sz w:val="21"/>
      <w:szCs w:val="21"/>
    </w:rPr>
  </w:style>
  <w:style w:type="paragraph" w:styleId="Textodecomentrio">
    <w:name w:val="annotation text"/>
    <w:basedOn w:val="Normal"/>
    <w:link w:val="TextodecomentrioChar"/>
    <w:uiPriority w:val="99"/>
    <w:semiHidden/>
    <w:unhideWhenUsed/>
    <w:qFormat/>
    <w:rPr>
      <w:sz w:val="20"/>
      <w:szCs w:val="20"/>
    </w:rPr>
  </w:style>
  <w:style w:type="paragraph" w:styleId="Ttulo">
    <w:name w:val="Title"/>
    <w:basedOn w:val="Normal"/>
    <w:next w:val="Corpodetexto"/>
    <w:link w:val="TtuloChar"/>
    <w:uiPriority w:val="10"/>
    <w:qFormat/>
    <w:pPr>
      <w:contextualSpacing/>
      <w:outlineLvl w:val="0"/>
    </w:pPr>
    <w:rPr>
      <w:rFonts w:eastAsiaTheme="majorEastAsia" w:cstheme="majorBidi"/>
      <w:b/>
      <w:spacing w:val="-10"/>
      <w:kern w:val="2"/>
      <w:sz w:val="24"/>
      <w:szCs w:val="56"/>
    </w:rPr>
  </w:style>
  <w:style w:type="paragraph" w:styleId="NormalWeb">
    <w:name w:val="Normal (Web)"/>
    <w:basedOn w:val="Normal"/>
    <w:uiPriority w:val="99"/>
    <w:semiHidden/>
    <w:unhideWhenUsed/>
    <w:qFormat/>
    <w:rPr>
      <w:rFonts w:ascii="Times New Roman" w:hAnsi="Times New Roman" w:cs="Times New Roman"/>
      <w:sz w:val="24"/>
      <w:szCs w:val="24"/>
    </w:rPr>
  </w:style>
  <w:style w:type="paragraph" w:styleId="Assinatura">
    <w:name w:val="Signature"/>
    <w:basedOn w:val="Normal"/>
    <w:pPr>
      <w:suppressLineNumbers/>
    </w:pPr>
  </w:style>
  <w:style w:type="paragraph" w:styleId="Ttulodendiceremissivo">
    <w:name w:val="index heading"/>
    <w:basedOn w:val="Ttulo"/>
  </w:style>
  <w:style w:type="paragraph" w:styleId="Cabealho">
    <w:name w:val="header"/>
    <w:basedOn w:val="Normal"/>
    <w:link w:val="CabealhoChar"/>
    <w:uiPriority w:val="99"/>
    <w:unhideWhenUsed/>
    <w:pPr>
      <w:tabs>
        <w:tab w:val="center" w:pos="4252"/>
        <w:tab w:val="right" w:pos="8504"/>
      </w:tabs>
    </w:pPr>
  </w:style>
  <w:style w:type="paragraph" w:styleId="Rodap">
    <w:name w:val="footer"/>
    <w:basedOn w:val="Normal"/>
    <w:link w:val="RodapChar"/>
    <w:uiPriority w:val="99"/>
    <w:unhideWhenUsed/>
    <w:pPr>
      <w:tabs>
        <w:tab w:val="center" w:pos="4252"/>
        <w:tab w:val="right" w:pos="8504"/>
      </w:tabs>
    </w:pPr>
  </w:style>
  <w:style w:type="paragraph" w:styleId="Legenda">
    <w:name w:val="caption"/>
    <w:basedOn w:val="Normal"/>
    <w:qFormat/>
    <w:pPr>
      <w:suppressLineNumbers/>
      <w:spacing w:before="120" w:after="120"/>
    </w:pPr>
    <w:rPr>
      <w:i/>
      <w:iCs/>
      <w:sz w:val="24"/>
      <w:szCs w:val="24"/>
    </w:rPr>
  </w:style>
  <w:style w:type="paragraph" w:styleId="Subttulo">
    <w:name w:val="Subtitle"/>
    <w:basedOn w:val="Normal"/>
    <w:next w:val="Normal"/>
    <w:link w:val="SubttuloChar"/>
    <w:uiPriority w:val="11"/>
    <w:qFormat/>
    <w:pPr>
      <w:spacing w:line="360" w:lineRule="auto"/>
      <w:jc w:val="both"/>
      <w:outlineLvl w:val="0"/>
    </w:pPr>
    <w:rPr>
      <w:b/>
      <w:caps/>
      <w:color w:val="000000" w:themeColor="text1"/>
      <w:sz w:val="24"/>
      <w:szCs w:val="28"/>
    </w:rPr>
  </w:style>
  <w:style w:type="paragraph" w:styleId="Sumrio1">
    <w:name w:val="toc 1"/>
    <w:basedOn w:val="Normal"/>
    <w:next w:val="Normal"/>
    <w:autoRedefine/>
    <w:uiPriority w:val="39"/>
    <w:unhideWhenUsed/>
    <w:pPr>
      <w:tabs>
        <w:tab w:val="right" w:leader="dot" w:pos="10366"/>
      </w:tabs>
      <w:spacing w:after="100" w:line="360" w:lineRule="auto"/>
    </w:pPr>
  </w:style>
  <w:style w:type="table" w:styleId="Tabelacomgrade">
    <w:name w:val="Table Grid"/>
    <w:basedOn w:val="Tabelanormal"/>
    <w:uiPriority w:val="39"/>
    <w:qFormat/>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style>
  <w:style w:type="character" w:customStyle="1" w:styleId="Ttulo1Char">
    <w:name w:val="Título 1 Char"/>
    <w:basedOn w:val="Fontepargpadro"/>
    <w:link w:val="Ttulo1"/>
    <w:uiPriority w:val="9"/>
    <w:qFormat/>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semiHidden/>
    <w:qFormat/>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semiHidden/>
    <w:qFormat/>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semiHidden/>
    <w:qFormat/>
    <w:rPr>
      <w:rFonts w:eastAsiaTheme="majorEastAsia" w:cstheme="majorBidi"/>
      <w:i/>
      <w:iCs/>
      <w:color w:val="2F5496" w:themeColor="accent1" w:themeShade="BF"/>
    </w:rPr>
  </w:style>
  <w:style w:type="character" w:customStyle="1" w:styleId="Ttulo5Char">
    <w:name w:val="Título 5 Char"/>
    <w:basedOn w:val="Fontepargpadro"/>
    <w:link w:val="Ttulo5"/>
    <w:uiPriority w:val="9"/>
    <w:semiHidden/>
    <w:qFormat/>
    <w:rPr>
      <w:rFonts w:eastAsiaTheme="majorEastAsia" w:cstheme="majorBidi"/>
      <w:color w:val="2F5496" w:themeColor="accent1" w:themeShade="BF"/>
    </w:rPr>
  </w:style>
  <w:style w:type="character" w:customStyle="1" w:styleId="Ttulo6Char">
    <w:name w:val="Título 6 Char"/>
    <w:basedOn w:val="Fontepargpadro"/>
    <w:link w:val="Ttulo6"/>
    <w:uiPriority w:val="9"/>
    <w:semiHidden/>
    <w:qFormat/>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qFormat/>
    <w:rPr>
      <w:rFonts w:eastAsiaTheme="majorEastAsia" w:cstheme="majorBidi"/>
      <w:color w:val="595959" w:themeColor="text1" w:themeTint="A6"/>
    </w:rPr>
  </w:style>
  <w:style w:type="character" w:customStyle="1" w:styleId="Ttulo8Char">
    <w:name w:val="Título 8 Char"/>
    <w:basedOn w:val="Fontepargpadro"/>
    <w:link w:val="Ttulo8"/>
    <w:uiPriority w:val="9"/>
    <w:semiHidden/>
    <w:qFormat/>
    <w:rPr>
      <w:rFonts w:eastAsiaTheme="majorEastAsia" w:cstheme="majorBidi"/>
      <w:i/>
      <w:iCs/>
      <w:color w:val="262626" w:themeColor="text1" w:themeTint="D9"/>
    </w:rPr>
  </w:style>
  <w:style w:type="character" w:customStyle="1" w:styleId="Ttulo9Char">
    <w:name w:val="Título 9 Char"/>
    <w:basedOn w:val="Fontepargpadro"/>
    <w:link w:val="Ttulo9"/>
    <w:uiPriority w:val="9"/>
    <w:semiHidden/>
    <w:qFormat/>
    <w:rPr>
      <w:rFonts w:eastAsiaTheme="majorEastAsia" w:cstheme="majorBidi"/>
      <w:color w:val="262626" w:themeColor="text1" w:themeTint="D9"/>
    </w:rPr>
  </w:style>
  <w:style w:type="character" w:customStyle="1" w:styleId="TtuloChar">
    <w:name w:val="Título Char"/>
    <w:basedOn w:val="Fontepargpadro"/>
    <w:link w:val="Ttulo"/>
    <w:uiPriority w:val="10"/>
    <w:qFormat/>
    <w:rPr>
      <w:rFonts w:eastAsiaTheme="majorEastAsia" w:cstheme="majorBidi"/>
      <w:b/>
      <w:spacing w:val="-10"/>
      <w:kern w:val="2"/>
      <w:sz w:val="24"/>
      <w:szCs w:val="56"/>
      <w:lang w:eastAsia="en-US"/>
    </w:rPr>
  </w:style>
  <w:style w:type="character" w:customStyle="1" w:styleId="SubttuloChar">
    <w:name w:val="Subtítulo Char"/>
    <w:basedOn w:val="Fontepargpadro"/>
    <w:link w:val="Subttulo"/>
    <w:uiPriority w:val="11"/>
    <w:qFormat/>
    <w:rPr>
      <w:b/>
      <w:caps/>
      <w:color w:val="000000" w:themeColor="text1"/>
      <w:sz w:val="24"/>
      <w:szCs w:val="28"/>
      <w:lang w:val="pt-PT" w:eastAsia="en-US"/>
    </w:rPr>
  </w:style>
  <w:style w:type="character" w:customStyle="1" w:styleId="CitaoChar">
    <w:name w:val="Citação Char"/>
    <w:basedOn w:val="Fontepargpadro"/>
    <w:link w:val="Citao"/>
    <w:uiPriority w:val="29"/>
    <w:qFormat/>
    <w:rPr>
      <w:i/>
      <w:iCs/>
      <w:color w:val="404040" w:themeColor="text1" w:themeTint="BF"/>
    </w:rPr>
  </w:style>
  <w:style w:type="paragraph" w:styleId="Citao">
    <w:name w:val="Quote"/>
    <w:basedOn w:val="Normal"/>
    <w:next w:val="Normal"/>
    <w:link w:val="CitaoChar"/>
    <w:uiPriority w:val="29"/>
    <w:qFormat/>
    <w:pPr>
      <w:spacing w:before="160"/>
      <w:jc w:val="center"/>
    </w:pPr>
    <w:rPr>
      <w:i/>
      <w:iCs/>
      <w:color w:val="404040" w:themeColor="text1" w:themeTint="BF"/>
    </w:rPr>
  </w:style>
  <w:style w:type="character" w:customStyle="1" w:styleId="nfaseIntensa1">
    <w:name w:val="Ênfase Intensa1"/>
    <w:basedOn w:val="Fontepargpadro"/>
    <w:uiPriority w:val="21"/>
    <w:qFormat/>
    <w:rPr>
      <w:i/>
      <w:iCs/>
      <w:color w:val="2F5496" w:themeColor="accent1" w:themeShade="BF"/>
    </w:rPr>
  </w:style>
  <w:style w:type="character" w:customStyle="1" w:styleId="CitaoIntensaChar">
    <w:name w:val="Citação Intensa Char"/>
    <w:basedOn w:val="Fontepargpadro"/>
    <w:link w:val="CitaoIntensa"/>
    <w:uiPriority w:val="30"/>
    <w:qFormat/>
    <w:rPr>
      <w:i/>
      <w:iCs/>
      <w:color w:val="2F5496" w:themeColor="accent1" w:themeShade="BF"/>
    </w:rPr>
  </w:style>
  <w:style w:type="paragraph" w:styleId="CitaoIntensa">
    <w:name w:val="Intense Quote"/>
    <w:basedOn w:val="Normal"/>
    <w:next w:val="Normal"/>
    <w:link w:val="CitaoIntensaChar"/>
    <w:uiPriority w:val="30"/>
    <w:qFormat/>
    <w:pPr>
      <w:pBdr>
        <w:top w:val="single" w:sz="4" w:space="10" w:color="2F5496"/>
        <w:bottom w:val="single" w:sz="4" w:space="10" w:color="2F5496"/>
      </w:pBdr>
      <w:spacing w:before="360" w:after="360"/>
      <w:ind w:left="864" w:right="864"/>
      <w:jc w:val="center"/>
    </w:pPr>
    <w:rPr>
      <w:i/>
      <w:iCs/>
      <w:color w:val="2F5496" w:themeColor="accent1" w:themeShade="BF"/>
    </w:rPr>
  </w:style>
  <w:style w:type="character" w:customStyle="1" w:styleId="RefernciaIntensa1">
    <w:name w:val="Referência Intensa1"/>
    <w:basedOn w:val="Fontepargpadro"/>
    <w:uiPriority w:val="32"/>
    <w:qFormat/>
    <w:rPr>
      <w:b/>
      <w:bCs/>
      <w:smallCaps/>
      <w:color w:val="2F5496" w:themeColor="accent1" w:themeShade="BF"/>
      <w:spacing w:val="5"/>
    </w:rPr>
  </w:style>
  <w:style w:type="character" w:customStyle="1" w:styleId="CabealhoChar">
    <w:name w:val="Cabeçalho Char"/>
    <w:basedOn w:val="Fontepargpadro"/>
    <w:link w:val="Cabealho"/>
    <w:uiPriority w:val="99"/>
    <w:qFormat/>
  </w:style>
  <w:style w:type="character" w:customStyle="1" w:styleId="RodapChar">
    <w:name w:val="Rodapé Char"/>
    <w:basedOn w:val="Fontepargpadro"/>
    <w:link w:val="Rodap"/>
    <w:uiPriority w:val="99"/>
    <w:qFormat/>
  </w:style>
  <w:style w:type="character" w:customStyle="1" w:styleId="CorpodetextoChar">
    <w:name w:val="Corpo de texto Char"/>
    <w:basedOn w:val="Fontepargpadro"/>
    <w:link w:val="Corpodetexto"/>
    <w:uiPriority w:val="1"/>
    <w:qFormat/>
    <w:rPr>
      <w:rFonts w:ascii="Arial" w:eastAsia="Arial" w:hAnsi="Arial" w:cs="Arial"/>
      <w:kern w:val="0"/>
      <w:sz w:val="21"/>
      <w:szCs w:val="21"/>
      <w:lang w:val="pt-PT"/>
    </w:rPr>
  </w:style>
  <w:style w:type="character" w:customStyle="1" w:styleId="LinkdaInternet">
    <w:name w:val="Link da Internet"/>
    <w:basedOn w:val="Fontepargpadro"/>
    <w:uiPriority w:val="99"/>
    <w:unhideWhenUsed/>
    <w:rPr>
      <w:color w:val="0563C1" w:themeColor="hyperlink"/>
      <w:u w:val="single"/>
    </w:rPr>
  </w:style>
  <w:style w:type="character" w:customStyle="1" w:styleId="MenoPendente1">
    <w:name w:val="Menção Pendente1"/>
    <w:basedOn w:val="Fontepargpadro"/>
    <w:uiPriority w:val="99"/>
    <w:semiHidden/>
    <w:unhideWhenUsed/>
    <w:qFormat/>
    <w:rPr>
      <w:color w:val="605E5C"/>
      <w:shd w:val="clear" w:color="auto" w:fill="E1DFDD"/>
    </w:rPr>
  </w:style>
  <w:style w:type="character" w:customStyle="1" w:styleId="Linkdainternetvisitado">
    <w:name w:val="Link da internet visitado"/>
    <w:basedOn w:val="Fontepargpadro"/>
    <w:uiPriority w:val="99"/>
    <w:semiHidden/>
    <w:unhideWhenUsed/>
    <w:rPr>
      <w:color w:val="954F72" w:themeColor="followedHyperlink"/>
      <w:u w:val="single"/>
    </w:rPr>
  </w:style>
  <w:style w:type="character" w:styleId="TextodoEspaoReservado">
    <w:name w:val="Placeholder Text"/>
    <w:basedOn w:val="Fontepargpadro"/>
    <w:uiPriority w:val="99"/>
    <w:semiHidden/>
    <w:qFormat/>
    <w:rPr>
      <w:color w:val="666666"/>
    </w:rPr>
  </w:style>
  <w:style w:type="character" w:customStyle="1" w:styleId="WW8Num30z1">
    <w:name w:val="WW8Num30z1"/>
    <w:qFormat/>
    <w:rPr>
      <w:rFonts w:ascii="Courier New" w:hAnsi="Courier New" w:cs="Courier New"/>
    </w:rPr>
  </w:style>
  <w:style w:type="character" w:customStyle="1" w:styleId="Nvel02Char">
    <w:name w:val="Nível 02 Char"/>
    <w:basedOn w:val="Fontepargpadro"/>
    <w:link w:val="Nvel02"/>
    <w:qFormat/>
    <w:rPr>
      <w:iCs/>
      <w:sz w:val="20"/>
      <w:szCs w:val="20"/>
      <w:lang w:eastAsia="pt-BR"/>
    </w:rPr>
  </w:style>
  <w:style w:type="paragraph" w:customStyle="1" w:styleId="Nvel02">
    <w:name w:val="Nível 02"/>
    <w:basedOn w:val="Nivel2-Opcional"/>
    <w:link w:val="Nvel02Char"/>
    <w:autoRedefine/>
    <w:qFormat/>
    <w:pPr>
      <w:shd w:val="clear" w:color="auto" w:fill="auto"/>
    </w:pPr>
    <w:rPr>
      <w:i w:val="0"/>
      <w:iCs/>
      <w:color w:val="auto"/>
    </w:rPr>
  </w:style>
  <w:style w:type="paragraph" w:customStyle="1" w:styleId="Nivel2-Opcional">
    <w:name w:val="Nivel 2-Opcional"/>
    <w:basedOn w:val="Normal"/>
    <w:autoRedefine/>
    <w:qFormat/>
    <w:pPr>
      <w:widowControl/>
      <w:numPr>
        <w:ilvl w:val="1"/>
        <w:numId w:val="1"/>
      </w:numPr>
      <w:shd w:val="clear" w:color="auto" w:fill="7B7B7B" w:themeFill="accent3" w:themeFillShade="BF"/>
      <w:suppressAutoHyphens w:val="0"/>
      <w:spacing w:before="120" w:after="120" w:line="276" w:lineRule="auto"/>
      <w:ind w:left="0" w:firstLine="0"/>
      <w:jc w:val="both"/>
    </w:pPr>
    <w:rPr>
      <w:i/>
      <w:color w:val="FF0000"/>
      <w:sz w:val="20"/>
      <w:szCs w:val="20"/>
      <w:lang w:eastAsia="pt-BR"/>
    </w:rPr>
  </w:style>
  <w:style w:type="character" w:customStyle="1" w:styleId="TextodecomentrioChar">
    <w:name w:val="Texto de comentário Char"/>
    <w:basedOn w:val="Fontepargpadro"/>
    <w:link w:val="Textodecomentrio"/>
    <w:uiPriority w:val="99"/>
    <w:semiHidden/>
    <w:qFormat/>
    <w:rPr>
      <w:sz w:val="20"/>
      <w:szCs w:val="20"/>
      <w:lang w:eastAsia="en-US"/>
    </w:rPr>
  </w:style>
  <w:style w:type="character" w:customStyle="1" w:styleId="Vnculodendice">
    <w:name w:val="Vínculo de índice"/>
    <w:qFormat/>
  </w:style>
  <w:style w:type="character" w:customStyle="1" w:styleId="nfaseforte">
    <w:name w:val="Ênfase forte"/>
    <w:qFormat/>
    <w:rPr>
      <w:b/>
      <w:bCs/>
    </w:rPr>
  </w:style>
  <w:style w:type="paragraph" w:customStyle="1" w:styleId="ndice">
    <w:name w:val="Índice"/>
    <w:basedOn w:val="Normal"/>
    <w:qFormat/>
    <w:pPr>
      <w:suppressLineNumbers/>
    </w:pPr>
  </w:style>
  <w:style w:type="paragraph" w:styleId="PargrafodaLista">
    <w:name w:val="List Paragraph"/>
    <w:basedOn w:val="Normal"/>
    <w:uiPriority w:val="34"/>
    <w:qFormat/>
    <w:pPr>
      <w:ind w:left="720"/>
      <w:contextualSpacing/>
    </w:pPr>
  </w:style>
  <w:style w:type="paragraph" w:customStyle="1" w:styleId="CabealhoeRodap">
    <w:name w:val="Cabeçalho e Rodapé"/>
    <w:basedOn w:val="Normal"/>
    <w:qFormat/>
  </w:style>
  <w:style w:type="paragraph" w:customStyle="1" w:styleId="Reviso1">
    <w:name w:val="Revisão1"/>
    <w:uiPriority w:val="99"/>
    <w:semiHidden/>
    <w:qFormat/>
    <w:pPr>
      <w:suppressAutoHyphens/>
    </w:pPr>
    <w:rPr>
      <w:sz w:val="22"/>
      <w:szCs w:val="22"/>
      <w:lang w:val="pt-PT" w:eastAsia="en-US"/>
    </w:rPr>
  </w:style>
  <w:style w:type="paragraph" w:customStyle="1" w:styleId="Contedodoquadro">
    <w:name w:val="Conteúdo do quadro"/>
    <w:basedOn w:val="Normal"/>
    <w:qFormat/>
  </w:style>
  <w:style w:type="paragraph" w:customStyle="1" w:styleId="Blocodecitao">
    <w:name w:val="Bloco de citação"/>
    <w:basedOn w:val="Normal"/>
    <w:qFormat/>
    <w:pPr>
      <w:spacing w:after="283"/>
      <w:ind w:left="567" w:right="567"/>
    </w:pPr>
  </w:style>
  <w:style w:type="paragraph" w:customStyle="1" w:styleId="Figura">
    <w:name w:val="Figura"/>
    <w:basedOn w:val="Legenda"/>
    <w:qFormat/>
  </w:style>
  <w:style w:type="paragraph" w:customStyle="1" w:styleId="CabealhodoSumrio1">
    <w:name w:val="Cabeçalho do Sumário1"/>
    <w:basedOn w:val="Ttulo1"/>
    <w:next w:val="Normal"/>
    <w:uiPriority w:val="39"/>
    <w:unhideWhenUsed/>
    <w:qFormat/>
    <w:pPr>
      <w:widowControl/>
      <w:suppressAutoHyphens w:val="0"/>
      <w:spacing w:before="240" w:after="0" w:line="259" w:lineRule="auto"/>
      <w:outlineLvl w:val="9"/>
    </w:pPr>
    <w:rPr>
      <w:sz w:val="32"/>
      <w:szCs w:val="32"/>
      <w:lang w:eastAsia="zh-CN"/>
    </w:rPr>
  </w:style>
  <w:style w:type="paragraph" w:styleId="SemEspaamento">
    <w:name w:val="No Spacing"/>
    <w:uiPriority w:val="1"/>
    <w:qFormat/>
    <w:pPr>
      <w:widowControl w:val="0"/>
      <w:suppressAutoHyphens/>
    </w:pPr>
    <w:rPr>
      <w:sz w:val="22"/>
      <w:szCs w:val="22"/>
      <w:lang w:val="pt-PT" w:eastAsia="en-US"/>
    </w:rPr>
  </w:style>
  <w:style w:type="paragraph" w:customStyle="1" w:styleId="Estilo2">
    <w:name w:val="Estilo2"/>
    <w:basedOn w:val="Normal"/>
    <w:qFormat/>
    <w:pPr>
      <w:widowControl/>
      <w:ind w:left="2694" w:hanging="284"/>
      <w:jc w:val="both"/>
    </w:pPr>
    <w:rPr>
      <w:rFonts w:ascii="Times New Roman" w:eastAsia="Times New Roman" w:hAnsi="Times New Roman" w:cs="Times New Roman"/>
      <w:color w:val="000000"/>
      <w:sz w:val="24"/>
      <w:szCs w:val="20"/>
      <w:lang w:eastAsia="zh-CN"/>
    </w:rPr>
  </w:style>
  <w:style w:type="paragraph" w:customStyle="1" w:styleId="Nivel01">
    <w:name w:val="Nivel 01"/>
    <w:basedOn w:val="PargrafodaLista"/>
    <w:next w:val="Normal"/>
    <w:autoRedefine/>
    <w:qFormat/>
    <w:pPr>
      <w:widowControl/>
      <w:numPr>
        <w:numId w:val="1"/>
      </w:numPr>
      <w:suppressAutoHyphens w:val="0"/>
      <w:spacing w:before="360" w:after="120" w:line="276" w:lineRule="auto"/>
      <w:ind w:left="357" w:hanging="357"/>
      <w:contextualSpacing w:val="0"/>
      <w:jc w:val="both"/>
      <w:outlineLvl w:val="0"/>
    </w:pPr>
    <w:rPr>
      <w:b/>
      <w:iCs/>
      <w:sz w:val="20"/>
      <w:szCs w:val="20"/>
      <w:lang w:eastAsia="pt-BR"/>
    </w:rPr>
  </w:style>
  <w:style w:type="paragraph" w:customStyle="1" w:styleId="Nivel5">
    <w:name w:val="Nivel 5"/>
    <w:basedOn w:val="Nvel4-R"/>
    <w:autoRedefine/>
    <w:qFormat/>
    <w:pPr>
      <w:ind w:left="851"/>
    </w:pPr>
  </w:style>
  <w:style w:type="paragraph" w:customStyle="1" w:styleId="Nvel4-R">
    <w:name w:val="Nível 4-R"/>
    <w:basedOn w:val="Normal"/>
    <w:autoRedefine/>
    <w:qFormat/>
    <w:pPr>
      <w:widowControl/>
      <w:tabs>
        <w:tab w:val="left" w:pos="0"/>
      </w:tabs>
      <w:suppressAutoHyphens w:val="0"/>
      <w:spacing w:before="120" w:after="120" w:line="276" w:lineRule="auto"/>
      <w:ind w:left="567"/>
      <w:jc w:val="both"/>
    </w:pPr>
    <w:rPr>
      <w:rFonts w:eastAsiaTheme="minorEastAsia"/>
      <w:bCs/>
      <w:i/>
      <w:color w:val="FF0000"/>
      <w:sz w:val="20"/>
      <w:szCs w:val="20"/>
      <w:lang w:eastAsia="pt-BR"/>
    </w:rPr>
  </w:style>
  <w:style w:type="paragraph" w:customStyle="1" w:styleId="Nivel3">
    <w:name w:val="Nivel 3"/>
    <w:basedOn w:val="Normal"/>
    <w:qFormat/>
    <w:pPr>
      <w:widowControl/>
      <w:numPr>
        <w:ilvl w:val="2"/>
        <w:numId w:val="1"/>
      </w:numPr>
      <w:suppressAutoHyphens w:val="0"/>
      <w:spacing w:before="120" w:after="120" w:line="276" w:lineRule="auto"/>
      <w:ind w:left="284" w:firstLine="0"/>
      <w:jc w:val="both"/>
    </w:pPr>
    <w:rPr>
      <w:rFonts w:eastAsiaTheme="minorEastAsia" w:cs="Tahoma"/>
      <w:sz w:val="20"/>
      <w:szCs w:val="24"/>
      <w:lang w:eastAsia="pt-BR"/>
    </w:rPr>
  </w:style>
  <w:style w:type="paragraph" w:customStyle="1" w:styleId="Textodecomentrio1">
    <w:name w:val="Texto de comentário1"/>
    <w:basedOn w:val="Normal"/>
    <w:next w:val="Textodecomentrio"/>
    <w:uiPriority w:val="99"/>
    <w:unhideWhenUsed/>
    <w:qFormat/>
    <w:pPr>
      <w:widowControl/>
      <w:suppressAutoHyphens w:val="0"/>
    </w:pPr>
    <w:rPr>
      <w:rFonts w:ascii="Ecofont_Spranq_eco_Sans" w:eastAsia="Calibri" w:hAnsi="Ecofont_Spranq_eco_Sans" w:cs="Tahoma"/>
      <w:kern w:val="2"/>
      <w:lang w:eastAsia="pt-BR"/>
    </w:rPr>
  </w:style>
  <w:style w:type="table" w:customStyle="1" w:styleId="TableNormal">
    <w:name w:val="Table Normal"/>
    <w:qFormat/>
    <w:tblPr>
      <w:tblCellMar>
        <w:top w:w="0" w:type="dxa"/>
        <w:left w:w="0" w:type="dxa"/>
        <w:bottom w:w="0" w:type="dxa"/>
        <w:right w:w="0" w:type="dxa"/>
      </w:tblCellMar>
    </w:tblPr>
  </w:style>
  <w:style w:type="table" w:customStyle="1" w:styleId="Estilo1">
    <w:name w:val="Estilo1"/>
    <w:basedOn w:val="Tabelanormal"/>
    <w:uiPriority w:val="99"/>
    <w:qFormat/>
    <w:tblPr/>
  </w:style>
  <w:style w:type="table" w:customStyle="1" w:styleId="TabeladeGradeClara1">
    <w:name w:val="Tabela de Grade Clara1"/>
    <w:basedOn w:val="Tabela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paragraph" w:customStyle="1" w:styleId="Standard">
    <w:name w:val="Standard"/>
    <w:qFormat/>
    <w:pPr>
      <w:suppressAutoHyphens/>
      <w:textAlignment w:val="baseline"/>
    </w:pPr>
    <w:rPr>
      <w:rFonts w:ascii="Liberation Serif" w:eastAsia="SimSun;宋体" w:hAnsi="Liberation Serif" w:cs="Mangal"/>
      <w:kern w:val="2"/>
      <w:sz w:val="24"/>
      <w:szCs w:val="24"/>
      <w:lang w:val="en-US"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leismunicipais.com.br/a/mt/r/rondonopolis/decreto/2023/1169/11685/decreto-n-11685-2023-regulamenta-no-ambito-da-administracao-publica-direta-do-municipio-de-rondonopolis-mt-a-lei-n-14133-de-01-de-abril-de-2021-que-estabelece-normas-gerais-de-licitacao-e-contratacao-para-as-administracoes-publicas-diretas-autarquicas-e-fundacionais-da-uniao-dos-estados-do-distrito-federal-e-dos-municipios-e-da-outras-providencias"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planalto.gov.br/ccivil_03/_ato2019-2022/2021/lei/l14133.htm"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uri="GoogleDocsCustomDataVersion2">
  <go:docsCustomData roundtripDataSignature="AMtx7mhtB7Duox5Oja++z+Y4QuteTuN+Rg==">CgMxLjA4AHIhMTl0Sm81dktIbUhXUUYzelJ2ekduYWp1c0pzY2NRYWNK</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50A68D6-58EB-4B89-8027-F98D0A695008}">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1496</TotalTime>
  <Pages>16</Pages>
  <Words>5574</Words>
  <Characters>30100</Characters>
  <Application>Microsoft Office Word</Application>
  <DocSecurity>0</DocSecurity>
  <Lines>250</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Av. Duque de Caxias, n°526, Vila Aurora Fone (66) 3411-5731    CEP 78740-100 – Rondonópolis/MT wEBSwww.rondonopolis.mt.gov.b</dc:creator>
  <cp:lastModifiedBy>Cristian Oliveira Santos</cp:lastModifiedBy>
  <cp:revision>185</cp:revision>
  <cp:lastPrinted>2026-03-05T14:44:00Z</cp:lastPrinted>
  <dcterms:created xsi:type="dcterms:W3CDTF">2025-03-24T11:38:00Z</dcterms:created>
  <dcterms:modified xsi:type="dcterms:W3CDTF">2026-06-10T20:16:00Z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1046-12.2.0.23196</vt:lpwstr>
  </property>
  <property fmtid="{D5CDD505-2E9C-101B-9397-08002B2CF9AE}" pid="3" name="ICV">
    <vt:lpwstr>113BB828EA0A4EEDA8ACA5B35B2852A8_12</vt:lpwstr>
  </property>
</Properties>
</file>